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伊犁州伊犁哈萨克自治州生态环境局特克斯分局部门单位整体支出绩效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部门单位名称（公章）：伊犁哈萨克自治州生态环境局特克斯分局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年4月 28日</w:t>
      </w:r>
    </w:p>
    <w:p>
      <w:bookmarkStart w:id="1" w:name="_Toc70450289"/>
    </w:p>
    <w:p>
      <w:pPr>
        <w:pStyle w:val="4"/>
        <w:spacing w:line="360" w:lineRule="auto"/>
        <w:rPr>
          <w:rFonts w:ascii="仿宋" w:hAnsi="仿宋" w:eastAsia="仿宋"/>
          <w:sz w:val="36"/>
          <w:szCs w:val="36"/>
        </w:rPr>
      </w:pPr>
      <w:bookmarkStart w:id="2" w:name="_Toc102042560"/>
      <w:r>
        <w:rPr>
          <w:rFonts w:hint="eastAsia" w:ascii="仿宋" w:hAnsi="仿宋" w:eastAsia="仿宋"/>
          <w:sz w:val="36"/>
          <w:szCs w:val="36"/>
        </w:rPr>
        <w:t>一、基本概况</w:t>
      </w:r>
      <w:bookmarkEnd w:id="1"/>
      <w:bookmarkEnd w:id="2"/>
    </w:p>
    <w:p>
      <w:pPr>
        <w:pStyle w:val="2"/>
        <w:spacing w:line="360" w:lineRule="auto"/>
        <w:rPr>
          <w:rStyle w:val="18"/>
          <w:rFonts w:ascii="仿宋" w:hAnsi="仿宋" w:eastAsia="仿宋"/>
          <w:b/>
          <w:bCs/>
        </w:rPr>
      </w:pPr>
      <w:bookmarkStart w:id="3" w:name="_Toc70450290"/>
      <w:r>
        <w:rPr>
          <w:rStyle w:val="18"/>
          <w:rFonts w:hint="eastAsia" w:ascii="仿宋" w:hAnsi="仿宋" w:eastAsia="仿宋"/>
          <w:b/>
          <w:bCs/>
        </w:rPr>
        <w:t>（一）部门单位基本情况</w:t>
      </w:r>
      <w:bookmarkEnd w:id="3"/>
    </w:p>
    <w:p>
      <w:pPr>
        <w:pStyle w:val="5"/>
        <w:spacing w:line="360" w:lineRule="auto"/>
        <w:ind w:firstLine="562" w:firstLineChars="200"/>
        <w:rPr>
          <w:rStyle w:val="18"/>
          <w:rFonts w:ascii="仿宋" w:hAnsi="仿宋" w:eastAsia="仿宋"/>
          <w:b/>
          <w:bCs/>
        </w:rPr>
      </w:pPr>
      <w:bookmarkStart w:id="4" w:name="_Toc70450291"/>
      <w:r>
        <w:rPr>
          <w:rStyle w:val="18"/>
          <w:rFonts w:ascii="仿宋" w:hAnsi="仿宋" w:eastAsia="仿宋"/>
          <w:b/>
          <w:bCs/>
        </w:rPr>
        <w:t>1</w:t>
      </w:r>
      <w:r>
        <w:rPr>
          <w:rStyle w:val="18"/>
          <w:rFonts w:hint="eastAsia" w:ascii="仿宋" w:hAnsi="仿宋" w:eastAsia="仿宋"/>
          <w:b/>
          <w:bCs/>
        </w:rPr>
        <w:t>、主要职能</w:t>
      </w:r>
      <w:bookmarkEnd w:id="4"/>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ascii="仿宋_GB2312" w:hAnsi="仿宋_GB2312" w:eastAsia="仿宋_GB2312" w:cs="仿宋_GB2312"/>
          <w:sz w:val="28"/>
          <w:szCs w:val="28"/>
        </w:rPr>
        <w:t>负责建立健全生态环境制度。贯彻执行国家、自治区，自治州生态环境政策、规划，会同有关部门拟订本辖区生态环境规划并组织实施。贯彻执行国家、自治区、自治州相关地方性法规、政府规章。会同有关部门编制并监督实施重点区域、流域、饮用水水源地生态环境规划和水功能区划，组织落实国家，自治区生态环境标准和技术规范。</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ascii="仿宋_GB2312" w:hAnsi="仿宋_GB2312" w:eastAsia="仿宋_GB2312" w:cs="仿宋_GB2312"/>
          <w:sz w:val="28"/>
          <w:szCs w:val="28"/>
        </w:rPr>
        <w:t>负责重大环境问题的统筹协调和监督管理。负责辖区内较大环境污染事故和生态破坏事件的调查处理。及时向本级人民政府和上一级人民政府生态环境主管部门报告突发环境事件，组织配合本级人民政府对较大突发环境事件的应急预警工作。协调解决有关</w:t>
      </w:r>
      <w:r>
        <w:rPr>
          <w:rFonts w:hint="eastAsia" w:ascii="仿宋_GB2312" w:hAnsi="仿宋_GB2312" w:eastAsia="仿宋_GB2312" w:cs="仿宋_GB2312"/>
          <w:sz w:val="28"/>
          <w:szCs w:val="28"/>
        </w:rPr>
        <w:t>跨</w:t>
      </w:r>
      <w:r>
        <w:rPr>
          <w:rFonts w:ascii="仿宋_GB2312" w:hAnsi="仿宋_GB2312" w:eastAsia="仿宋_GB2312" w:cs="仿宋_GB2312"/>
          <w:sz w:val="28"/>
          <w:szCs w:val="28"/>
        </w:rPr>
        <w:t>区域环境污</w:t>
      </w:r>
      <w:r>
        <w:rPr>
          <w:rFonts w:hint="eastAsia" w:ascii="仿宋_GB2312" w:hAnsi="仿宋_GB2312" w:eastAsia="仿宋_GB2312" w:cs="仿宋_GB2312"/>
          <w:sz w:val="28"/>
          <w:szCs w:val="28"/>
        </w:rPr>
        <w:t>染</w:t>
      </w:r>
      <w:r>
        <w:rPr>
          <w:rFonts w:ascii="仿宋_GB2312" w:hAnsi="仿宋_GB2312" w:eastAsia="仿宋_GB2312" w:cs="仿宋_GB2312"/>
          <w:sz w:val="28"/>
          <w:szCs w:val="28"/>
        </w:rPr>
        <w:t>纠纷，统筹协调辖区内重点区域、流域生态环境保护工作。</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ascii="仿宋_GB2312" w:hAnsi="仿宋_GB2312" w:eastAsia="仿宋_GB2312" w:cs="仿宋_GB2312"/>
          <w:sz w:val="28"/>
          <w:szCs w:val="28"/>
        </w:rPr>
        <w:t>负责监督管理减排目标的落实。贯彻落实国家、自治区</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自治州污染物按放总量控制、排污许可制度并监督实施。拟订本辖区内总量控制计划并监督实施。监督检查本辖区内污染物减排任务完成情况，实施生态环境保护目标责任制。</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提出生态环境领域固定资产投资规模和方向以及国家、自治区、自治州及本级政府财政性资金安排的意见。按照本级人民政府规定权限审批、核准规划内和年度计划规模内固定资产投资项目，并配合有关部门做好组织实施和监督工作。参与指导推动循环经济和生态环保产业发展。</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ascii="仿宋_GB2312" w:hAnsi="仿宋_GB2312" w:eastAsia="仿宋_GB2312" w:cs="仿宋_GB2312"/>
          <w:sz w:val="28"/>
          <w:szCs w:val="28"/>
        </w:rPr>
        <w:t>负责环境污染防治的监督管理。根据国家和自治区、自治州大气，水、土壤、噪声、光，恶臭，固体废物、化学品、机动车等的污染防治管理制度，拟订污染防治管理制度并监督实施。会同有关部门监督管理饮用水水源地生态环境保护工作。组织指导城乡生态环境综合整治工作，监督指导农业面源污染治理工作、区域大气环境保护工作和监督重点区城大气污染联防联控协作机制的实施。</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ascii="仿宋_GB2312" w:hAnsi="仿宋_GB2312" w:eastAsia="仿宋_GB2312" w:cs="仿宋_GB2312"/>
          <w:sz w:val="28"/>
          <w:szCs w:val="28"/>
        </w:rPr>
        <w:t>指导协调和监督生态保护修复工作。组织编制本辖区内生态保护规划，监督对生态环境有影响的自然资源开发利用活动、重要生态环境建设和生态破坏恢复工作。组织制定各类自然保护地生态环境监管制度并监督执法。监督野生动植物保护。湿地生态环境保护、荒漠化防治等工作。指导协调和监督农村生态环境保护，监督生物技术环境安全，牵头生物物种(含遗传资源)工作，组织协调生物多样性保护工作，参与生态保护补偿工作。</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(7)</w:t>
      </w:r>
      <w:r>
        <w:rPr>
          <w:rFonts w:ascii="仿宋_GB2312" w:hAnsi="仿宋_GB2312" w:eastAsia="仿宋_GB2312" w:cs="仿宋_GB2312"/>
          <w:sz w:val="28"/>
          <w:szCs w:val="28"/>
        </w:rPr>
        <w:t>负责核与辐射安全的监督管理。贯彻执行国家、</w:t>
      </w:r>
      <w:r>
        <w:rPr>
          <w:rFonts w:hint="eastAsia" w:ascii="宋体" w:hAnsi="宋体" w:cs="宋体"/>
          <w:sz w:val="28"/>
          <w:szCs w:val="28"/>
        </w:rPr>
        <w:t> </w:t>
      </w:r>
      <w:r>
        <w:rPr>
          <w:rFonts w:ascii="仿宋_GB2312" w:hAnsi="仿宋_GB2312" w:eastAsia="仿宋_GB2312" w:cs="仿宋_GB2312"/>
          <w:sz w:val="28"/>
          <w:szCs w:val="28"/>
        </w:rPr>
        <w:t>自治区有关核与辐射政策、规划、标准，组织实施自治州核与辐射安全政策、规划。参与核事故应急处理，组织实施辐射环境事故应急处理工作。监督管理放射源安全和核技术应用，电磁辐射，伴有放射性矿产资源开发利用中的污染防治。</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(8)</w:t>
      </w:r>
      <w:r>
        <w:rPr>
          <w:rFonts w:ascii="仿宋_GB2312" w:hAnsi="仿宋_GB2312" w:eastAsia="仿宋_GB2312" w:cs="仿宋_GB2312"/>
          <w:sz w:val="28"/>
          <w:szCs w:val="28"/>
        </w:rPr>
        <w:t>负责生态环境准入的监督管理，组织并实施生态环境准入清单。</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(9)</w:t>
      </w:r>
      <w:r>
        <w:rPr>
          <w:rFonts w:ascii="仿宋_GB2312" w:hAnsi="仿宋_GB2312" w:eastAsia="仿宋_GB2312" w:cs="仿宋_GB2312"/>
          <w:sz w:val="28"/>
          <w:szCs w:val="28"/>
        </w:rPr>
        <w:t>负责生态环境监测工作</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拟订本辖区内生态环境监测制度并监督实施。会同有关部门提出统一规划生态环境质量监测站点设置的建议，组织实施生态环境监测、质量状况调查评价、考核</w:t>
      </w:r>
      <w:r>
        <w:rPr>
          <w:rFonts w:hint="eastAsia" w:ascii="仿宋_GB2312" w:hAnsi="仿宋_GB2312" w:eastAsia="仿宋_GB2312" w:cs="仿宋_GB2312"/>
          <w:sz w:val="28"/>
          <w:szCs w:val="28"/>
        </w:rPr>
        <w:t>、</w:t>
      </w:r>
      <w:r>
        <w:rPr>
          <w:rFonts w:ascii="仿宋_GB2312" w:hAnsi="仿宋_GB2312" w:eastAsia="仿宋_GB2312" w:cs="仿宋_GB2312"/>
          <w:sz w:val="28"/>
          <w:szCs w:val="28"/>
        </w:rPr>
        <w:t>预警预测。配合建设和管理生态环境监测网和生态环境信息网。建立和实行生态环境质量公告制度，统发布生态环境综合性报告和重大生态环境信息。</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(10)</w:t>
      </w:r>
      <w:r>
        <w:rPr>
          <w:rFonts w:ascii="仿宋_GB2312" w:hAnsi="仿宋_GB2312" w:eastAsia="仿宋_GB2312" w:cs="仿宋_GB2312"/>
          <w:sz w:val="28"/>
          <w:szCs w:val="28"/>
        </w:rPr>
        <w:t>负责应对气候变化工作。组织拟订应对气候变化及温室气体减排的规划和政策措施井协调实施。协调组织应对气候变化能力建设。</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(11)</w:t>
      </w:r>
      <w:r>
        <w:rPr>
          <w:rFonts w:ascii="仿宋_GB2312" w:hAnsi="仿宋_GB2312" w:eastAsia="仿宋_GB2312" w:cs="仿宋_GB2312"/>
          <w:sz w:val="28"/>
          <w:szCs w:val="28"/>
        </w:rPr>
        <w:t>负责生态环境监察工作。贯彻执行国家、自治区、自治州生态环境保护监察制度，组织协调本辖区内生态环境保护督察工作。根据授权对各乡镇、各有关部门贯彻落实中央生态环境保护决策部署、自治区和自治州工作要求情况进行监察问责</w:t>
      </w:r>
      <w:r>
        <w:rPr>
          <w:rFonts w:hint="eastAsia" w:ascii="仿宋_GB2312" w:hAnsi="仿宋_GB2312" w:eastAsia="仿宋_GB2312" w:cs="仿宋_GB2312"/>
          <w:sz w:val="28"/>
          <w:szCs w:val="28"/>
        </w:rPr>
        <w:t>。</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(12)</w:t>
      </w:r>
      <w:r>
        <w:rPr>
          <w:rFonts w:ascii="仿宋_GB2312" w:hAnsi="仿宋_GB2312" w:eastAsia="仿宋_GB2312" w:cs="仿宋_GB2312"/>
          <w:sz w:val="28"/>
          <w:szCs w:val="28"/>
        </w:rPr>
        <w:t>统一负</w:t>
      </w:r>
      <w:r>
        <w:rPr>
          <w:rFonts w:hint="eastAsia" w:ascii="仿宋_GB2312" w:hAnsi="仿宋_GB2312" w:eastAsia="仿宋_GB2312" w:cs="仿宋_GB2312"/>
          <w:sz w:val="28"/>
          <w:szCs w:val="28"/>
        </w:rPr>
        <w:t>责</w:t>
      </w:r>
      <w:r>
        <w:rPr>
          <w:rFonts w:ascii="仿宋_GB2312" w:hAnsi="仿宋_GB2312" w:eastAsia="仿宋_GB2312" w:cs="仿宋_GB2312"/>
          <w:sz w:val="28"/>
          <w:szCs w:val="28"/>
        </w:rPr>
        <w:t>生态环境监督执法。组织开展生态环境保护执法检查活动，查处重大生态环境违法案件。负责环境信访投诉案件的办理。做好生态环境保护综合执法队伍建设和业务工作。</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(13)</w:t>
      </w:r>
      <w:r>
        <w:rPr>
          <w:rFonts w:ascii="仿宋_GB2312" w:hAnsi="仿宋_GB2312" w:eastAsia="仿宋_GB2312" w:cs="仿宋_GB2312"/>
          <w:sz w:val="28"/>
          <w:szCs w:val="28"/>
        </w:rPr>
        <w:t>组织指导和协调生态环境保护宣传教育工作，制定并组织实施生态环境保护宣传教育规划，推动社会组织和公众参与生态环境保护。开展生态环境科技工作，组织协调生态环境保护科学研究和技术工程示苑，推动生态环境技术管理体系建设。</w:t>
      </w:r>
    </w:p>
    <w:p>
      <w:pPr>
        <w:widowControl/>
        <w:spacing w:line="520" w:lineRule="atLeas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(14)</w:t>
      </w:r>
      <w:r>
        <w:rPr>
          <w:rFonts w:ascii="仿宋_GB2312" w:hAnsi="仿宋_GB2312" w:eastAsia="仿宋_GB2312" w:cs="仿宋_GB2312"/>
          <w:sz w:val="28"/>
          <w:szCs w:val="28"/>
        </w:rPr>
        <w:t>完成县委、政府和上级主管部门交办的其他任务。</w:t>
      </w:r>
    </w:p>
    <w:p>
      <w:pPr>
        <w:pStyle w:val="5"/>
        <w:spacing w:line="360" w:lineRule="auto"/>
        <w:ind w:firstLine="562" w:firstLineChars="200"/>
        <w:rPr>
          <w:rStyle w:val="18"/>
          <w:rFonts w:ascii="仿宋" w:hAnsi="仿宋" w:eastAsia="仿宋"/>
          <w:b/>
          <w:bCs/>
        </w:rPr>
      </w:pPr>
      <w:bookmarkStart w:id="5" w:name="_Toc70450292"/>
      <w:r>
        <w:rPr>
          <w:rStyle w:val="18"/>
          <w:rFonts w:hint="eastAsia" w:ascii="仿宋" w:hAnsi="仿宋" w:eastAsia="仿宋"/>
          <w:b/>
          <w:bCs/>
        </w:rPr>
        <w:t>2、机构人员构成</w:t>
      </w:r>
      <w:bookmarkEnd w:id="5"/>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（1）组织机构设置：</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伊犁哈萨克自治州生态环境局特克斯分局无下属预算单位，下设2个</w:t>
      </w:r>
      <w:r>
        <w:rPr>
          <w:rStyle w:val="18"/>
          <w:rFonts w:hint="eastAsia" w:ascii="仿宋_GB2312" w:hAnsi="楷体" w:eastAsia="仿宋_GB2312"/>
          <w:b w:val="0"/>
          <w:spacing w:val="-4"/>
          <w:sz w:val="28"/>
          <w:szCs w:val="28"/>
          <w:lang w:val="en-US" w:eastAsia="zh-CN"/>
        </w:rPr>
        <w:t>科</w:t>
      </w:r>
      <w:r>
        <w:rPr>
          <w:rStyle w:val="18"/>
          <w:rFonts w:hint="eastAsia" w:ascii="仿宋_GB2312" w:hAnsi="楷体" w:eastAsia="仿宋_GB2312"/>
          <w:b w:val="0"/>
          <w:spacing w:val="-4"/>
          <w:sz w:val="28"/>
          <w:szCs w:val="28"/>
        </w:rPr>
        <w:t>室，分别是：办公室、综合业务科。</w:t>
      </w:r>
    </w:p>
    <w:p>
      <w:pPr>
        <w:spacing w:line="360" w:lineRule="auto"/>
        <w:ind w:firstLine="544" w:firstLineChars="200"/>
        <w:rPr>
          <w:rStyle w:val="18"/>
          <w:rFonts w:ascii="仿宋_GB2312" w:hAnsi="楷体" w:eastAsia="仿宋_GB2312"/>
          <w:b w:val="0"/>
          <w:spacing w:val="-4"/>
          <w:sz w:val="28"/>
          <w:szCs w:val="28"/>
          <w:highlight w:val="none"/>
        </w:rPr>
      </w:pPr>
      <w:r>
        <w:rPr>
          <w:rStyle w:val="18"/>
          <w:rFonts w:hint="eastAsia" w:ascii="仿宋_GB2312" w:hAnsi="楷体" w:eastAsia="仿宋_GB2312"/>
          <w:b w:val="0"/>
          <w:spacing w:val="-4"/>
          <w:sz w:val="28"/>
          <w:szCs w:val="28"/>
        </w:rPr>
        <w:t>（2）2021年伊犁哈萨克自治州生态环境局特克斯分局实有</w:t>
      </w:r>
      <w:r>
        <w:rPr>
          <w:rStyle w:val="18"/>
          <w:rFonts w:hint="eastAsia" w:ascii="仿宋_GB2312" w:hAnsi="楷体" w:eastAsia="仿宋_GB2312"/>
          <w:b w:val="0"/>
          <w:spacing w:val="-4"/>
          <w:sz w:val="28"/>
          <w:szCs w:val="28"/>
          <w:highlight w:val="none"/>
        </w:rPr>
        <w:t>在职人员为21人，其中：</w:t>
      </w:r>
    </w:p>
    <w:p>
      <w:pPr>
        <w:spacing w:line="360" w:lineRule="auto"/>
        <w:ind w:firstLine="544" w:firstLineChars="200"/>
        <w:rPr>
          <w:rStyle w:val="18"/>
          <w:rFonts w:hint="eastAsia" w:ascii="仿宋_GB2312" w:hAnsi="楷体" w:eastAsia="仿宋_GB2312"/>
          <w:b w:val="0"/>
          <w:spacing w:val="-4"/>
          <w:sz w:val="28"/>
          <w:szCs w:val="28"/>
        </w:rPr>
      </w:pPr>
      <w:r>
        <w:rPr>
          <w:rStyle w:val="18"/>
          <w:rFonts w:hint="eastAsia" w:ascii="仿宋_GB2312" w:hAnsi="楷体" w:eastAsia="仿宋_GB2312"/>
          <w:b w:val="0"/>
          <w:spacing w:val="-4"/>
          <w:sz w:val="28"/>
          <w:szCs w:val="28"/>
        </w:rPr>
        <w:t>行政在职8人（上年6人），同比上年增加2人；</w:t>
      </w:r>
    </w:p>
    <w:p>
      <w:pPr>
        <w:spacing w:line="360" w:lineRule="auto"/>
        <w:ind w:firstLine="544" w:firstLineChars="200"/>
        <w:rPr>
          <w:rStyle w:val="18"/>
          <w:rFonts w:hint="eastAsia" w:ascii="仿宋_GB2312" w:hAnsi="楷体" w:eastAsia="仿宋_GB2312"/>
          <w:b w:val="0"/>
          <w:spacing w:val="-4"/>
          <w:sz w:val="28"/>
          <w:szCs w:val="28"/>
          <w:lang w:val="en-US" w:eastAsia="zh-CN"/>
        </w:rPr>
      </w:pPr>
      <w:r>
        <w:rPr>
          <w:rStyle w:val="18"/>
          <w:rFonts w:hint="eastAsia" w:ascii="仿宋_GB2312" w:hAnsi="楷体" w:eastAsia="仿宋_GB2312"/>
          <w:b w:val="0"/>
          <w:spacing w:val="-4"/>
          <w:sz w:val="28"/>
          <w:szCs w:val="28"/>
          <w:lang w:eastAsia="zh-CN"/>
        </w:rPr>
        <w:t>事业</w:t>
      </w:r>
      <w:r>
        <w:rPr>
          <w:rStyle w:val="18"/>
          <w:rFonts w:hint="eastAsia" w:ascii="仿宋_GB2312" w:hAnsi="楷体" w:eastAsia="仿宋_GB2312"/>
          <w:b w:val="0"/>
          <w:spacing w:val="-4"/>
          <w:sz w:val="28"/>
          <w:szCs w:val="28"/>
        </w:rPr>
        <w:t>在职</w:t>
      </w:r>
      <w:r>
        <w:rPr>
          <w:rStyle w:val="18"/>
          <w:rFonts w:hint="eastAsia" w:ascii="仿宋_GB2312" w:hAnsi="楷体" w:eastAsia="仿宋_GB2312"/>
          <w:b w:val="0"/>
          <w:spacing w:val="-4"/>
          <w:sz w:val="28"/>
          <w:szCs w:val="28"/>
          <w:lang w:val="en-US" w:eastAsia="zh-CN"/>
        </w:rPr>
        <w:t>13</w:t>
      </w:r>
      <w:r>
        <w:rPr>
          <w:rStyle w:val="18"/>
          <w:rFonts w:hint="eastAsia" w:ascii="仿宋_GB2312" w:hAnsi="楷体" w:eastAsia="仿宋_GB2312"/>
          <w:b w:val="0"/>
          <w:spacing w:val="-4"/>
          <w:sz w:val="28"/>
          <w:szCs w:val="28"/>
        </w:rPr>
        <w:t>人（上年</w:t>
      </w:r>
      <w:r>
        <w:rPr>
          <w:rStyle w:val="18"/>
          <w:rFonts w:hint="eastAsia" w:ascii="仿宋_GB2312" w:hAnsi="楷体" w:eastAsia="仿宋_GB2312"/>
          <w:b w:val="0"/>
          <w:spacing w:val="-4"/>
          <w:sz w:val="28"/>
          <w:szCs w:val="28"/>
          <w:lang w:val="en-US" w:eastAsia="zh-CN"/>
        </w:rPr>
        <w:t>14</w:t>
      </w:r>
      <w:r>
        <w:rPr>
          <w:rStyle w:val="18"/>
          <w:rFonts w:hint="eastAsia" w:ascii="仿宋_GB2312" w:hAnsi="楷体" w:eastAsia="仿宋_GB2312"/>
          <w:b w:val="0"/>
          <w:spacing w:val="-4"/>
          <w:sz w:val="28"/>
          <w:szCs w:val="28"/>
        </w:rPr>
        <w:t>），同比上年</w:t>
      </w:r>
      <w:r>
        <w:rPr>
          <w:rStyle w:val="18"/>
          <w:rFonts w:hint="eastAsia" w:ascii="仿宋_GB2312" w:hAnsi="楷体" w:eastAsia="仿宋_GB2312"/>
          <w:b w:val="0"/>
          <w:spacing w:val="-4"/>
          <w:sz w:val="28"/>
          <w:szCs w:val="28"/>
          <w:lang w:eastAsia="zh-CN"/>
        </w:rPr>
        <w:t>减少</w:t>
      </w:r>
      <w:r>
        <w:rPr>
          <w:rStyle w:val="18"/>
          <w:rFonts w:hint="eastAsia" w:ascii="仿宋_GB2312" w:hAnsi="楷体" w:eastAsia="仿宋_GB2312"/>
          <w:b w:val="0"/>
          <w:spacing w:val="-4"/>
          <w:sz w:val="28"/>
          <w:szCs w:val="28"/>
          <w:lang w:val="en-US" w:eastAsia="zh-CN"/>
        </w:rPr>
        <w:t>1</w:t>
      </w:r>
      <w:r>
        <w:rPr>
          <w:rStyle w:val="18"/>
          <w:rFonts w:hint="eastAsia" w:ascii="仿宋_GB2312" w:hAnsi="楷体" w:eastAsia="仿宋_GB2312"/>
          <w:b w:val="0"/>
          <w:spacing w:val="-4"/>
          <w:sz w:val="28"/>
          <w:szCs w:val="28"/>
        </w:rPr>
        <w:t>人</w:t>
      </w:r>
      <w:r>
        <w:rPr>
          <w:rStyle w:val="18"/>
          <w:rFonts w:hint="eastAsia" w:ascii="仿宋_GB2312" w:hAnsi="楷体" w:eastAsia="仿宋_GB2312"/>
          <w:b w:val="0"/>
          <w:spacing w:val="-4"/>
          <w:sz w:val="28"/>
          <w:szCs w:val="28"/>
          <w:lang w:val="en-US" w:eastAsia="zh-CN"/>
        </w:rPr>
        <w:t>;</w:t>
      </w:r>
    </w:p>
    <w:p>
      <w:pPr>
        <w:spacing w:line="360" w:lineRule="auto"/>
        <w:ind w:firstLine="544" w:firstLineChars="200"/>
        <w:rPr>
          <w:rStyle w:val="18"/>
          <w:rFonts w:hint="eastAsia" w:ascii="仿宋_GB2312" w:hAnsi="楷体" w:eastAsia="仿宋_GB2312"/>
          <w:b w:val="0"/>
          <w:spacing w:val="-4"/>
          <w:sz w:val="28"/>
          <w:szCs w:val="28"/>
          <w:lang w:val="en-US" w:eastAsia="zh-CN"/>
        </w:rPr>
      </w:pPr>
      <w:r>
        <w:rPr>
          <w:rStyle w:val="18"/>
          <w:rFonts w:hint="eastAsia" w:ascii="仿宋_GB2312" w:hAnsi="楷体" w:eastAsia="仿宋_GB2312"/>
          <w:b w:val="0"/>
          <w:spacing w:val="-4"/>
          <w:sz w:val="28"/>
          <w:szCs w:val="28"/>
        </w:rPr>
        <w:t>实有离休人员0人（上年0人）,与上年一致</w:t>
      </w:r>
      <w:r>
        <w:rPr>
          <w:rStyle w:val="18"/>
          <w:rFonts w:hint="eastAsia" w:ascii="仿宋_GB2312" w:hAnsi="楷体" w:eastAsia="仿宋_GB2312"/>
          <w:b w:val="0"/>
          <w:spacing w:val="-4"/>
          <w:sz w:val="28"/>
          <w:szCs w:val="28"/>
          <w:lang w:val="en-US" w:eastAsia="zh-CN"/>
        </w:rPr>
        <w:t>;</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实有退休人员</w:t>
      </w:r>
      <w:bookmarkStart w:id="6" w:name="_Toc70450293"/>
      <w:r>
        <w:rPr>
          <w:rStyle w:val="18"/>
          <w:rFonts w:hint="eastAsia" w:ascii="仿宋_GB2312" w:hAnsi="楷体" w:eastAsia="仿宋_GB2312"/>
          <w:b w:val="0"/>
          <w:spacing w:val="-4"/>
          <w:sz w:val="28"/>
          <w:szCs w:val="28"/>
        </w:rPr>
        <w:t>8人（上年8人）,与上年一致</w:t>
      </w:r>
    </w:p>
    <w:p>
      <w:pPr>
        <w:pStyle w:val="5"/>
        <w:spacing w:line="360" w:lineRule="auto"/>
        <w:ind w:firstLine="562" w:firstLineChars="200"/>
        <w:rPr>
          <w:rStyle w:val="18"/>
          <w:rFonts w:ascii="仿宋" w:hAnsi="仿宋" w:eastAsia="仿宋"/>
          <w:b/>
          <w:bCs/>
        </w:rPr>
      </w:pPr>
      <w:r>
        <w:rPr>
          <w:rStyle w:val="18"/>
          <w:rFonts w:ascii="仿宋" w:hAnsi="仿宋" w:eastAsia="仿宋"/>
          <w:b/>
          <w:bCs/>
        </w:rPr>
        <w:t>3</w:t>
      </w:r>
      <w:r>
        <w:rPr>
          <w:rStyle w:val="18"/>
          <w:rFonts w:hint="eastAsia" w:ascii="仿宋" w:hAnsi="仿宋" w:eastAsia="仿宋"/>
          <w:b/>
          <w:bCs/>
        </w:rPr>
        <w:t>、重点工作计划</w:t>
      </w:r>
      <w:bookmarkEnd w:id="6"/>
    </w:p>
    <w:p>
      <w:pPr>
        <w:pStyle w:val="4"/>
        <w:keepNext w:val="0"/>
        <w:keepLines w:val="0"/>
        <w:pageBreakBefore w:val="0"/>
        <w:widowControl w:val="0"/>
        <w:numPr>
          <w:ilvl w:val="0"/>
          <w:numId w:val="0"/>
        </w:numPr>
        <w:kinsoku/>
        <w:wordWrap/>
        <w:overflowPunct/>
        <w:topLinePunct w:val="0"/>
        <w:bidi w:val="0"/>
        <w:spacing w:line="540" w:lineRule="exact"/>
        <w:ind w:firstLine="544" w:firstLineChars="200"/>
        <w:jc w:val="both"/>
        <w:textAlignment w:val="auto"/>
        <w:rPr>
          <w:rStyle w:val="18"/>
          <w:rFonts w:hint="eastAsia" w:ascii="仿宋_GB2312" w:hAnsi="楷体" w:eastAsia="仿宋_GB2312" w:cs="Times New Roman"/>
          <w:b w:val="0"/>
          <w:bCs/>
          <w:spacing w:val="-4"/>
          <w:kern w:val="2"/>
          <w:sz w:val="28"/>
          <w:szCs w:val="28"/>
          <w:lang w:val="en-US" w:eastAsia="zh-CN" w:bidi="ar-SA"/>
        </w:rPr>
      </w:pPr>
      <w:bookmarkStart w:id="7" w:name="_Toc70450294"/>
      <w:r>
        <w:rPr>
          <w:rStyle w:val="18"/>
          <w:rFonts w:hint="eastAsia" w:ascii="仿宋_GB2312" w:hAnsi="楷体" w:eastAsia="仿宋_GB2312" w:cs="Times New Roman"/>
          <w:b w:val="0"/>
          <w:bCs/>
          <w:spacing w:val="-4"/>
          <w:kern w:val="2"/>
          <w:sz w:val="28"/>
          <w:szCs w:val="28"/>
          <w:lang w:val="en-US" w:eastAsia="zh-CN" w:bidi="ar-SA"/>
        </w:rPr>
        <w:t>（一）精准治污，推动生态环境不断好转。</w:t>
      </w:r>
    </w:p>
    <w:p>
      <w:pPr>
        <w:keepNext w:val="0"/>
        <w:keepLines w:val="0"/>
        <w:pageBreakBefore w:val="0"/>
        <w:widowControl w:val="0"/>
        <w:kinsoku/>
        <w:wordWrap/>
        <w:overflowPunct/>
        <w:topLinePunct w:val="0"/>
        <w:bidi w:val="0"/>
        <w:snapToGrid/>
        <w:spacing w:line="540" w:lineRule="exact"/>
        <w:ind w:firstLine="544" w:firstLineChars="200"/>
        <w:jc w:val="both"/>
        <w:textAlignment w:val="auto"/>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近年来，特克斯河水质始终保持Ⅱ类标准且未下降，地表水水质为Ⅱ类比例为100％，无劣V类水体。2021年特克斯县空气优良天数率达到99.3%，生态环境质量总体保持稳定。</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jc w:val="both"/>
        <w:textAlignment w:val="auto"/>
        <w:outlineLvl w:val="9"/>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1.构建生态空间管控体系。全面落实特克斯县各项规划，控制开发强度，调整空间结构，促进国土空间集约高效利用。加快构建生态功能保障基线、环境质量安全底线、自然资源利用上线三大红线，保护好天际线、山脊线、水岸线，传承好历史文脉。统筹山、水、林、田、湖、草系统治理。严格项目环评审批和节能评估“三同时”制度，严禁“三高项目”进特克斯。认真落实环评登记表备案制，2021年共办理环评手续48个，未出现一例越权审批和违规审批项目，全面推进复工复产，积极做到提前介入、主动为企业服务。</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jc w:val="both"/>
        <w:textAlignment w:val="auto"/>
        <w:outlineLvl w:val="9"/>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2.加大环境监察工作力度。严格执行环保法律法规，充分发挥环境监管网格化作用，加强企业监管，规范执法行为，敢于动真碰硬，严厉查处环境违法行为，开展行政处罚后督查工作，做好建设项目事中事后监督；加大危险废物管理力度，对医疗垃圾收集、贮存、转运期间的污染防治实施监督检查，切实维护公共权益，保证生态安全；继续做好中央环保督察转办信访案件整改以及环保突出问题整改督察工作，“举一反三”防患于未然；着力解决群众关心的热点环境问题，充分发挥“12369”环保举报平台的作用，打击违法排污企业，保障群众健康；开展突发环境事件应急演练，健全突发环境事件应急机制，锻炼应急队伍，提高应对突发环境事件的能力。2021年共监察企事业单位74次，出动150余人次，下发现场整改通知53份。处理信访案件（包括12369网络平台）6起，答复6起，办结率100%。</w:t>
      </w:r>
    </w:p>
    <w:p>
      <w:pPr>
        <w:pStyle w:val="33"/>
        <w:keepNext w:val="0"/>
        <w:keepLines w:val="0"/>
        <w:pageBreakBefore w:val="0"/>
        <w:widowControl w:val="0"/>
        <w:kinsoku/>
        <w:wordWrap/>
        <w:overflowPunct/>
        <w:topLinePunct w:val="0"/>
        <w:bidi w:val="0"/>
        <w:snapToGrid/>
        <w:spacing w:line="540" w:lineRule="exact"/>
        <w:ind w:firstLine="544" w:firstLineChars="200"/>
        <w:jc w:val="both"/>
        <w:textAlignment w:val="auto"/>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3.严格执行排污许可制度。主动与企事业单位沟通，指导151家企事业单位做好排污许可证登记与核发工作，其中：重点管理3家，简化管理14家，努力做到“应发尽发”，让各企事业单位做到持证排污、按证排污。</w:t>
      </w:r>
    </w:p>
    <w:p>
      <w:pPr>
        <w:pStyle w:val="4"/>
        <w:keepNext w:val="0"/>
        <w:keepLines w:val="0"/>
        <w:pageBreakBefore w:val="0"/>
        <w:widowControl w:val="0"/>
        <w:numPr>
          <w:ilvl w:val="0"/>
          <w:numId w:val="0"/>
        </w:numPr>
        <w:kinsoku/>
        <w:wordWrap/>
        <w:overflowPunct/>
        <w:topLinePunct w:val="0"/>
        <w:bidi w:val="0"/>
        <w:spacing w:line="540" w:lineRule="exact"/>
        <w:ind w:firstLine="544" w:firstLineChars="200"/>
        <w:jc w:val="both"/>
        <w:textAlignment w:val="auto"/>
        <w:rPr>
          <w:rStyle w:val="18"/>
          <w:rFonts w:hint="eastAsia" w:ascii="仿宋_GB2312" w:hAnsi="楷体" w:eastAsia="仿宋_GB2312" w:cs="Times New Roman"/>
          <w:b w:val="0"/>
          <w:bCs/>
          <w:spacing w:val="-4"/>
          <w:kern w:val="2"/>
          <w:sz w:val="28"/>
          <w:szCs w:val="28"/>
          <w:lang w:val="en-US" w:eastAsia="zh-CN" w:bidi="ar-SA"/>
        </w:rPr>
      </w:pPr>
      <w:r>
        <w:rPr>
          <w:rStyle w:val="18"/>
          <w:rFonts w:hint="eastAsia" w:ascii="仿宋_GB2312" w:hAnsi="楷体" w:eastAsia="仿宋_GB2312" w:cs="Times New Roman"/>
          <w:b w:val="0"/>
          <w:bCs/>
          <w:spacing w:val="-4"/>
          <w:kern w:val="2"/>
          <w:sz w:val="28"/>
          <w:szCs w:val="28"/>
          <w:lang w:val="en-US" w:eastAsia="zh-CN" w:bidi="ar-SA"/>
        </w:rPr>
        <w:t>（二）突出重点，坚定坚决打好污染防治攻坚战</w:t>
      </w:r>
    </w:p>
    <w:p>
      <w:pPr>
        <w:keepNext w:val="0"/>
        <w:keepLines w:val="0"/>
        <w:pageBreakBefore w:val="0"/>
        <w:widowControl w:val="0"/>
        <w:kinsoku/>
        <w:wordWrap/>
        <w:overflowPunct/>
        <w:topLinePunct w:val="0"/>
        <w:autoSpaceDE/>
        <w:autoSpaceDN/>
        <w:bidi w:val="0"/>
        <w:adjustRightInd/>
        <w:snapToGrid/>
        <w:spacing w:line="540" w:lineRule="exact"/>
        <w:ind w:firstLine="544" w:firstLineChars="200"/>
        <w:textAlignment w:val="auto"/>
        <w:rPr>
          <w:rStyle w:val="18"/>
          <w:rFonts w:hint="eastAsia" w:ascii="仿宋_GB2312" w:hAnsi="楷体" w:eastAsia="仿宋_GB2312" w:cs="Times New Roman"/>
          <w:b w:val="0"/>
          <w:spacing w:val="-4"/>
          <w:kern w:val="2"/>
          <w:sz w:val="28"/>
          <w:szCs w:val="28"/>
          <w:lang w:val="en-US" w:eastAsia="zh-CN" w:bidi="ar-SA"/>
        </w:rPr>
      </w:pPr>
      <w:r>
        <w:rPr>
          <w:rStyle w:val="18"/>
          <w:rFonts w:hint="eastAsia" w:ascii="仿宋_GB2312" w:hAnsi="楷体" w:eastAsia="仿宋_GB2312" w:cs="Times New Roman"/>
          <w:b w:val="0"/>
          <w:spacing w:val="-4"/>
          <w:kern w:val="2"/>
          <w:sz w:val="28"/>
          <w:szCs w:val="28"/>
          <w:lang w:val="en-US" w:eastAsia="zh-CN" w:bidi="ar-SA"/>
        </w:rPr>
        <w:t>一是打好蓝天保卫战。特克斯县严格落实大气污染防治计划，2021年优良天数比例达99.3%。积极推广新能源、清洁能源，在农村继续推广集中供暖补充电采暖等，“电化特克斯”工程稳妥实施，电采暖面积突破20万平方米，通过继续扩大集中供暖、补充“电采暖、煤改气”等办法极大地解决居民零散燃煤炉冒烟的问题；加强秸秆禁烧管理，加大对施工扬尘的治理，污染负荷持续降低。2021年成功将集中供热超低排放项目纳入2021年自治区大气污染防治专项资金支持项目；深入开展落后产能淘汰工作，特克斯县“三高办”制定了《特克斯县淘汰落后产能工作方案》，对9家轮窑进行关停拆除（其中3家进行升级改造），目前9家砖窑（含3家升级改造砖瓦窑）制砖机均已拆除，窑体已废毁；持续加强建筑工地扬尘整治工作，生态环境、住建局等部门联动执法，督促建筑工地落实“六个百分之百”工作要求，切实减少建筑工地扬尘排放。二是打好碧水保卫战。大力改善水环境质量。特克斯县把水污染防治攻坚与落实河湖长制、农村环境综合整治等工作有机结合起来，强化特克斯河流综合治理，重点加快推进生态水系、湿地公园、污水处理管网建设、农村生活污水处理设施和配套管网建设，全面提升我县水环境质量。完成4个“千吨万人”饮用水水源地技术划分报告编制，并于2020年12月取得自治区人民政府批复。2021年特克斯河和集中式饮用水水源地水质均保持Ⅱ类标准且未下降，达标率比例为100％。三是打好净土保卫战。特克斯县按照自治区人民政府下发《新疆维吾尔自治区土壤污染治理与修复规划（2018-2022）年》、《伊犁州直土壤污染防治工作方案》要求，严格审批各类建设项目用地，建设用地结合《产业准入负面清单（试行）》对各类禁止类产业坚决不予审批，对各类限制类项目严格按照管控要求在前期项目选址时提出用地和规划的选址意见。</w:t>
      </w:r>
    </w:p>
    <w:p>
      <w:pPr>
        <w:pStyle w:val="14"/>
        <w:widowControl/>
        <w:spacing w:before="40" w:beforeAutospacing="0" w:after="0" w:afterAutospacing="0" w:line="520" w:lineRule="atLeast"/>
        <w:ind w:firstLine="562" w:firstLineChars="200"/>
        <w:jc w:val="both"/>
        <w:rPr>
          <w:rStyle w:val="18"/>
          <w:rFonts w:ascii="仿宋" w:hAnsi="仿宋" w:eastAsia="仿宋"/>
          <w:bCs w:val="0"/>
          <w:sz w:val="28"/>
          <w:szCs w:val="28"/>
        </w:rPr>
      </w:pPr>
      <w:r>
        <w:rPr>
          <w:rStyle w:val="18"/>
          <w:rFonts w:hint="eastAsia" w:ascii="仿宋" w:hAnsi="仿宋" w:eastAsia="仿宋"/>
          <w:bCs w:val="0"/>
          <w:sz w:val="28"/>
          <w:szCs w:val="28"/>
        </w:rPr>
        <w:t>（二）部门单位整体支出规模、</w:t>
      </w:r>
      <w:bookmarkStart w:id="8" w:name="_Hlk70339807"/>
      <w:r>
        <w:rPr>
          <w:rStyle w:val="18"/>
          <w:rFonts w:hint="eastAsia" w:ascii="仿宋" w:hAnsi="仿宋" w:eastAsia="仿宋"/>
          <w:bCs w:val="0"/>
          <w:sz w:val="28"/>
          <w:szCs w:val="28"/>
        </w:rPr>
        <w:t>使用方法和主要内容、涉及对象及范围等</w:t>
      </w:r>
      <w:bookmarkEnd w:id="7"/>
    </w:p>
    <w:bookmarkEnd w:id="8"/>
    <w:p>
      <w:pPr>
        <w:pStyle w:val="5"/>
        <w:spacing w:line="360" w:lineRule="auto"/>
        <w:ind w:firstLine="562" w:firstLineChars="200"/>
        <w:rPr>
          <w:rStyle w:val="18"/>
          <w:rFonts w:ascii="仿宋" w:hAnsi="仿宋" w:eastAsia="仿宋"/>
          <w:b/>
          <w:bCs/>
        </w:rPr>
      </w:pPr>
      <w:bookmarkStart w:id="9" w:name="_Toc70450295"/>
      <w:r>
        <w:rPr>
          <w:rStyle w:val="18"/>
          <w:rFonts w:hint="eastAsia" w:ascii="仿宋" w:hAnsi="仿宋" w:eastAsia="仿宋"/>
          <w:b/>
          <w:bCs/>
        </w:rPr>
        <w:t>1、部门单位整体支出规模</w:t>
      </w:r>
      <w:bookmarkEnd w:id="9"/>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2021年批复我单位伊犁哈萨克自治州生态环境局特克斯分局预算为420.05万元，其中：财政拨款为420.05万元</w:t>
      </w:r>
      <w:r>
        <w:rPr>
          <w:rStyle w:val="18"/>
          <w:rFonts w:hint="eastAsia" w:ascii="仿宋_GB2312" w:hAnsi="楷体" w:eastAsia="仿宋_GB2312"/>
          <w:b w:val="0"/>
          <w:spacing w:val="-4"/>
          <w:sz w:val="28"/>
          <w:szCs w:val="28"/>
          <w:lang w:eastAsia="zh-CN"/>
        </w:rPr>
        <w:t>。</w:t>
      </w:r>
      <w:r>
        <w:rPr>
          <w:rStyle w:val="18"/>
          <w:rFonts w:hint="eastAsia" w:ascii="仿宋_GB2312" w:hAnsi="楷体" w:eastAsia="仿宋_GB2312"/>
          <w:b w:val="0"/>
          <w:spacing w:val="-4"/>
          <w:sz w:val="28"/>
          <w:szCs w:val="28"/>
        </w:rPr>
        <w:t>年中追加资金214.97万元，调整率104.82%。对比上年363.51万元增加56.54万元，上升15.5</w:t>
      </w:r>
      <w:r>
        <w:rPr>
          <w:rStyle w:val="18"/>
          <w:rFonts w:hint="eastAsia" w:ascii="仿宋_GB2312" w:hAnsi="楷体" w:eastAsia="仿宋_GB2312"/>
          <w:b w:val="0"/>
          <w:spacing w:val="-4"/>
          <w:sz w:val="28"/>
          <w:szCs w:val="28"/>
          <w:lang w:val="en-US" w:eastAsia="zh-CN"/>
        </w:rPr>
        <w:t>5</w:t>
      </w:r>
      <w:r>
        <w:rPr>
          <w:rStyle w:val="18"/>
          <w:rFonts w:hint="eastAsia" w:ascii="仿宋_GB2312" w:hAnsi="楷体" w:eastAsia="仿宋_GB2312"/>
          <w:b w:val="0"/>
          <w:spacing w:val="-4"/>
          <w:sz w:val="28"/>
          <w:szCs w:val="28"/>
        </w:rPr>
        <w:t>%。</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2021年实际决算支出420.05万元，执行率1</w:t>
      </w:r>
      <w:r>
        <w:rPr>
          <w:rStyle w:val="18"/>
          <w:rFonts w:hint="eastAsia" w:ascii="仿宋_GB2312" w:hAnsi="楷体" w:eastAsia="仿宋_GB2312"/>
          <w:b w:val="0"/>
          <w:spacing w:val="-4"/>
          <w:sz w:val="28"/>
          <w:szCs w:val="28"/>
          <w:lang w:val="en-US" w:eastAsia="zh-CN"/>
        </w:rPr>
        <w:t>00</w:t>
      </w:r>
      <w:r>
        <w:rPr>
          <w:rStyle w:val="18"/>
          <w:rFonts w:hint="eastAsia" w:ascii="仿宋_GB2312" w:hAnsi="楷体" w:eastAsia="仿宋_GB2312"/>
          <w:b w:val="0"/>
          <w:spacing w:val="-4"/>
          <w:sz w:val="28"/>
          <w:szCs w:val="28"/>
        </w:rPr>
        <w:t>%，其中：</w:t>
      </w:r>
    </w:p>
    <w:p>
      <w:pPr>
        <w:spacing w:line="360" w:lineRule="auto"/>
        <w:ind w:firstLine="544" w:firstLineChars="200"/>
        <w:rPr>
          <w:rStyle w:val="18"/>
          <w:rFonts w:hint="eastAsia" w:ascii="仿宋_GB2312" w:hAnsi="楷体" w:eastAsia="仿宋_GB2312"/>
          <w:b w:val="0"/>
          <w:spacing w:val="-4"/>
          <w:sz w:val="28"/>
          <w:szCs w:val="28"/>
          <w:lang w:val="en-US" w:eastAsia="zh-CN"/>
        </w:rPr>
      </w:pPr>
      <w:r>
        <w:rPr>
          <w:rStyle w:val="18"/>
          <w:rFonts w:hint="eastAsia" w:ascii="仿宋_GB2312" w:hAnsi="楷体" w:eastAsia="仿宋_GB2312"/>
          <w:b w:val="0"/>
          <w:spacing w:val="-4"/>
          <w:sz w:val="28"/>
          <w:szCs w:val="28"/>
        </w:rPr>
        <w:t>（1）基本支出315.19万元，占总支出的75.04％，主要用于本部门伊犁哈萨克自治州生态环境局特克斯分局机构正常运转、完成日常工作任务而发生的各项支出。其中：工资福利支出245.18万元，主要用于在职人员基本工资、津贴补贴等人员经费。商品和服务支出66.34万元，主要用于办公费、印刷费、水电费、办公设备购置等。对个人和家庭的补助3.67万元，主要用于退休费、生活补助、奖励金等。资本性支出</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r>
        <w:rPr>
          <w:rStyle w:val="18"/>
          <w:rFonts w:hint="eastAsia" w:ascii="仿宋_GB2312" w:hAnsi="楷体" w:eastAsia="仿宋_GB2312"/>
          <w:b w:val="0"/>
          <w:spacing w:val="-4"/>
          <w:sz w:val="28"/>
          <w:szCs w:val="28"/>
          <w:lang w:eastAsia="zh-CN"/>
        </w:rPr>
        <w:t>。</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w:t>
      </w:r>
      <w:r>
        <w:rPr>
          <w:rStyle w:val="18"/>
          <w:rFonts w:ascii="仿宋_GB2312" w:hAnsi="楷体" w:eastAsia="仿宋_GB2312"/>
          <w:b w:val="0"/>
          <w:spacing w:val="-4"/>
          <w:sz w:val="28"/>
          <w:szCs w:val="28"/>
        </w:rPr>
        <w:t>2</w:t>
      </w:r>
      <w:r>
        <w:rPr>
          <w:rStyle w:val="18"/>
          <w:rFonts w:hint="eastAsia" w:ascii="仿宋_GB2312" w:hAnsi="楷体" w:eastAsia="仿宋_GB2312"/>
          <w:b w:val="0"/>
          <w:spacing w:val="-4"/>
          <w:sz w:val="28"/>
          <w:szCs w:val="28"/>
        </w:rPr>
        <w:t>）项目支出104.86万元，占总支出的24.96％。其中：2017年城乡综合建设项目（环境设施建设）勘察、设计项目安排47.16万元，主要用于完成项目前期勘察、设计费用；特克斯县2020年农村生活污水治理项目安排57.7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万元，主要用于完成特克斯县喀拉托海镇铁热克提村站房设备基础检查井工程、40处理量一体化污水处理设备采购、及污水处理站配套设施建设。</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w:t>
      </w:r>
      <w:r>
        <w:rPr>
          <w:rStyle w:val="18"/>
          <w:rFonts w:ascii="仿宋_GB2312" w:hAnsi="楷体" w:eastAsia="仿宋_GB2312"/>
          <w:b w:val="0"/>
          <w:spacing w:val="-4"/>
          <w:sz w:val="28"/>
          <w:szCs w:val="28"/>
        </w:rPr>
        <w:t>3</w:t>
      </w:r>
      <w:r>
        <w:rPr>
          <w:rStyle w:val="18"/>
          <w:rFonts w:hint="eastAsia" w:ascii="仿宋_GB2312" w:hAnsi="楷体" w:eastAsia="仿宋_GB2312"/>
          <w:b w:val="0"/>
          <w:spacing w:val="-4"/>
          <w:sz w:val="28"/>
          <w:szCs w:val="28"/>
        </w:rPr>
        <w:t>）本年度重点项目支出</w:t>
      </w:r>
      <w:r>
        <w:rPr>
          <w:rStyle w:val="18"/>
          <w:rFonts w:ascii="仿宋_GB2312" w:hAnsi="楷体" w:eastAsia="仿宋_GB2312"/>
          <w:b w:val="0"/>
          <w:spacing w:val="-4"/>
          <w:sz w:val="28"/>
          <w:szCs w:val="28"/>
        </w:rPr>
        <w:t xml:space="preserve"> </w:t>
      </w:r>
      <w:r>
        <w:rPr>
          <w:rStyle w:val="18"/>
          <w:rFonts w:hint="eastAsia" w:ascii="仿宋_GB2312" w:hAnsi="楷体" w:eastAsia="仿宋_GB2312"/>
          <w:b w:val="0"/>
          <w:spacing w:val="-4"/>
          <w:sz w:val="28"/>
          <w:szCs w:val="28"/>
        </w:rPr>
        <w:t>0万元，重点支出保障率0%。其中重点保障项目是：无。</w:t>
      </w:r>
    </w:p>
    <w:p>
      <w:pPr>
        <w:spacing w:line="360" w:lineRule="auto"/>
        <w:ind w:firstLine="544" w:firstLineChars="200"/>
        <w:rPr>
          <w:rStyle w:val="18"/>
          <w:rFonts w:ascii="仿宋_GB2312" w:hAnsi="楷体" w:eastAsia="仿宋_GB2312"/>
          <w:b w:val="0"/>
          <w:spacing w:val="-4"/>
          <w:sz w:val="32"/>
          <w:szCs w:val="32"/>
        </w:rPr>
      </w:pPr>
      <w:r>
        <w:rPr>
          <w:rStyle w:val="18"/>
          <w:rFonts w:hint="eastAsia" w:ascii="仿宋_GB2312" w:hAnsi="楷体" w:eastAsia="仿宋_GB2312"/>
          <w:b w:val="0"/>
          <w:spacing w:val="-4"/>
          <w:sz w:val="28"/>
          <w:szCs w:val="28"/>
        </w:rPr>
        <w:t>（4）本年度我单位伊犁哈萨克自治州生态环境局特克斯分局政府采购预算0.20万元,实际用于政府采购金额0.20万元，采购执行率</w:t>
      </w:r>
      <w:r>
        <w:rPr>
          <w:rStyle w:val="18"/>
          <w:rFonts w:hint="eastAsia" w:ascii="仿宋_GB2312" w:hAnsi="宋体" w:eastAsia="仿宋_GB2312"/>
          <w:b w:val="0"/>
          <w:bCs w:val="0"/>
          <w:spacing w:val="-4"/>
          <w:sz w:val="28"/>
          <w:szCs w:val="28"/>
        </w:rPr>
        <w:t>100</w:t>
      </w:r>
      <w:r>
        <w:rPr>
          <w:rStyle w:val="18"/>
          <w:rFonts w:hint="eastAsia" w:ascii="仿宋_GB2312" w:hAnsi="楷体" w:eastAsia="仿宋_GB2312"/>
          <w:b w:val="0"/>
          <w:spacing w:val="-4"/>
          <w:sz w:val="28"/>
          <w:szCs w:val="28"/>
        </w:rPr>
        <w:t>%</w:t>
      </w:r>
      <w:r>
        <w:rPr>
          <w:rStyle w:val="18"/>
          <w:rFonts w:hint="eastAsia" w:ascii="仿宋_GB2312" w:hAnsi="楷体" w:eastAsia="仿宋_GB2312"/>
          <w:spacing w:val="-4"/>
          <w:sz w:val="28"/>
          <w:szCs w:val="28"/>
        </w:rPr>
        <w:t>。</w:t>
      </w:r>
    </w:p>
    <w:p>
      <w:pPr>
        <w:pStyle w:val="5"/>
        <w:spacing w:line="360" w:lineRule="auto"/>
        <w:ind w:firstLine="562" w:firstLineChars="200"/>
        <w:rPr>
          <w:rStyle w:val="18"/>
          <w:rFonts w:ascii="仿宋" w:hAnsi="仿宋" w:eastAsia="仿宋"/>
          <w:b/>
          <w:bCs/>
        </w:rPr>
      </w:pPr>
      <w:bookmarkStart w:id="10" w:name="_Toc70450296"/>
      <w:r>
        <w:rPr>
          <w:rStyle w:val="18"/>
          <w:rFonts w:ascii="仿宋" w:hAnsi="仿宋" w:eastAsia="仿宋"/>
          <w:b/>
          <w:bCs/>
        </w:rPr>
        <w:t>2</w:t>
      </w:r>
      <w:r>
        <w:rPr>
          <w:rStyle w:val="18"/>
          <w:rFonts w:hint="eastAsia" w:ascii="仿宋" w:hAnsi="仿宋" w:eastAsia="仿宋"/>
          <w:b/>
          <w:bCs/>
        </w:rPr>
        <w:t>、整体支出评价使用方法和主要内容、涉及对象及范围等</w:t>
      </w:r>
      <w:bookmarkEnd w:id="10"/>
    </w:p>
    <w:p>
      <w:pPr>
        <w:spacing w:line="360" w:lineRule="auto"/>
        <w:ind w:firstLine="560" w:firstLineChars="200"/>
        <w:rPr>
          <w:rStyle w:val="18"/>
          <w:rFonts w:ascii="仿宋_GB2312" w:eastAsia="仿宋_GB2312"/>
          <w:b w:val="0"/>
          <w:bCs w:val="0"/>
          <w:sz w:val="28"/>
          <w:szCs w:val="36"/>
        </w:rPr>
      </w:pPr>
      <w:r>
        <w:rPr>
          <w:rFonts w:hint="eastAsia" w:ascii="仿宋_GB2312" w:eastAsia="仿宋_GB2312"/>
          <w:sz w:val="28"/>
          <w:szCs w:val="36"/>
        </w:rPr>
        <w:t>（1）</w:t>
      </w:r>
      <w:r>
        <w:rPr>
          <w:rStyle w:val="18"/>
          <w:rFonts w:hint="eastAsia" w:ascii="仿宋_GB2312" w:eastAsia="仿宋_GB2312"/>
          <w:b w:val="0"/>
          <w:bCs w:val="0"/>
          <w:sz w:val="28"/>
          <w:szCs w:val="36"/>
        </w:rPr>
        <w:t>整体支出评价使用方法</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本次伊犁哈萨克自治州生态环境局特克斯分局整体支出绩效自评采用综合指数评价法，原因是：根据年初设置的绩效目标表，将年终绩效成果与年初设置的各项指标进行对比，对照评价标准值计算各项指标评价得分，再按照设定的各项指标权数计算出综合评价得分，从而分析评价绩效目标实现情况。</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8"/>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（3）整体支出评价涉及对象及范围</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涉及对象：</w:t>
      </w:r>
      <w:r>
        <w:rPr>
          <w:rFonts w:hint="eastAsia" w:ascii="仿宋_GB2312" w:eastAsia="仿宋_GB2312"/>
          <w:sz w:val="28"/>
          <w:szCs w:val="36"/>
        </w:rPr>
        <w:t>本次评价对象是</w:t>
      </w:r>
      <w:r>
        <w:rPr>
          <w:rStyle w:val="18"/>
          <w:rFonts w:hint="eastAsia" w:ascii="仿宋_GB2312" w:hAnsi="楷体" w:eastAsia="仿宋_GB2312"/>
          <w:b w:val="0"/>
          <w:spacing w:val="-4"/>
          <w:sz w:val="28"/>
          <w:szCs w:val="28"/>
        </w:rPr>
        <w:t>伊犁哈萨克自治州生态环境局特克斯分局</w:t>
      </w:r>
      <w:r>
        <w:rPr>
          <w:rFonts w:hint="eastAsia" w:ascii="仿宋_GB2312" w:eastAsia="仿宋_GB2312"/>
          <w:sz w:val="28"/>
          <w:szCs w:val="36"/>
        </w:rPr>
        <w:t>所有财政资金支出活动。</w:t>
      </w:r>
    </w:p>
    <w:p>
      <w:pPr>
        <w:spacing w:line="360" w:lineRule="auto"/>
        <w:ind w:firstLine="560" w:firstLineChars="200"/>
        <w:rPr>
          <w:rStyle w:val="18"/>
          <w:rFonts w:ascii="仿宋_GB2312" w:eastAsia="仿宋_GB2312"/>
          <w:b w:val="0"/>
          <w:bCs w:val="0"/>
          <w:sz w:val="28"/>
          <w:szCs w:val="36"/>
        </w:rPr>
      </w:pPr>
      <w:r>
        <w:rPr>
          <w:rStyle w:val="18"/>
          <w:rFonts w:hint="eastAsia" w:ascii="仿宋_GB2312" w:eastAsia="仿宋_GB2312"/>
          <w:b w:val="0"/>
          <w:bCs w:val="0"/>
          <w:sz w:val="28"/>
          <w:szCs w:val="36"/>
        </w:rPr>
        <w:t>整体支出评价范围：</w:t>
      </w:r>
    </w:p>
    <w:p>
      <w:pPr>
        <w:spacing w:line="360" w:lineRule="auto"/>
        <w:ind w:firstLine="544" w:firstLineChars="200"/>
        <w:rPr>
          <w:rStyle w:val="18"/>
          <w:rFonts w:ascii="宋体" w:hAnsi="宋体" w:eastAsia="宋体"/>
          <w:bCs w:val="0"/>
          <w:color w:val="FF0000"/>
          <w:spacing w:val="-4"/>
          <w:sz w:val="28"/>
          <w:szCs w:val="28"/>
        </w:rPr>
      </w:pPr>
      <w:r>
        <w:rPr>
          <w:rStyle w:val="18"/>
          <w:rFonts w:ascii="仿宋_GB2312" w:hAnsi="楷体" w:eastAsia="仿宋_GB2312"/>
          <w:b w:val="0"/>
          <w:spacing w:val="-4"/>
          <w:sz w:val="28"/>
          <w:szCs w:val="28"/>
        </w:rPr>
        <w:fldChar w:fldCharType="begin"/>
      </w:r>
      <w:r>
        <w:rPr>
          <w:rStyle w:val="18"/>
          <w:rFonts w:ascii="仿宋_GB2312" w:hAnsi="楷体" w:eastAsia="仿宋_GB2312"/>
          <w:b w:val="0"/>
          <w:spacing w:val="-4"/>
          <w:sz w:val="28"/>
          <w:szCs w:val="28"/>
        </w:rPr>
        <w:instrText xml:space="preserve"> </w:instrText>
      </w:r>
      <w:r>
        <w:rPr>
          <w:rStyle w:val="18"/>
          <w:rFonts w:hint="eastAsia" w:ascii="仿宋_GB2312" w:hAnsi="楷体" w:eastAsia="仿宋_GB2312"/>
          <w:b w:val="0"/>
          <w:spacing w:val="-4"/>
          <w:sz w:val="28"/>
          <w:szCs w:val="28"/>
        </w:rPr>
        <w:instrText xml:space="preserve">= 1 \* GB3</w:instrText>
      </w:r>
      <w:r>
        <w:rPr>
          <w:rStyle w:val="18"/>
          <w:rFonts w:ascii="仿宋_GB2312" w:hAnsi="楷体" w:eastAsia="仿宋_GB2312"/>
          <w:b w:val="0"/>
          <w:spacing w:val="-4"/>
          <w:sz w:val="28"/>
          <w:szCs w:val="28"/>
        </w:rPr>
        <w:instrText xml:space="preserve"> </w:instrText>
      </w:r>
      <w:r>
        <w:rPr>
          <w:rStyle w:val="18"/>
          <w:rFonts w:ascii="仿宋_GB2312" w:hAnsi="楷体" w:eastAsia="仿宋_GB2312"/>
          <w:b w:val="0"/>
          <w:spacing w:val="-4"/>
          <w:sz w:val="28"/>
          <w:szCs w:val="28"/>
        </w:rPr>
        <w:fldChar w:fldCharType="separate"/>
      </w:r>
      <w:r>
        <w:rPr>
          <w:rStyle w:val="18"/>
          <w:rFonts w:hint="eastAsia" w:ascii="仿宋_GB2312" w:hAnsi="楷体" w:eastAsia="仿宋_GB2312"/>
          <w:b w:val="0"/>
          <w:spacing w:val="-4"/>
          <w:sz w:val="28"/>
          <w:szCs w:val="28"/>
        </w:rPr>
        <w:t>①</w:t>
      </w:r>
      <w:r>
        <w:rPr>
          <w:rStyle w:val="18"/>
          <w:rFonts w:ascii="仿宋_GB2312" w:hAnsi="楷体" w:eastAsia="仿宋_GB2312"/>
          <w:b w:val="0"/>
          <w:spacing w:val="-4"/>
          <w:sz w:val="28"/>
          <w:szCs w:val="28"/>
        </w:rPr>
        <w:fldChar w:fldCharType="end"/>
      </w:r>
      <w:r>
        <w:rPr>
          <w:rStyle w:val="18"/>
          <w:rFonts w:hint="eastAsia" w:ascii="仿宋_GB2312" w:hAnsi="楷体" w:eastAsia="仿宋_GB2312"/>
          <w:b w:val="0"/>
          <w:spacing w:val="-4"/>
          <w:sz w:val="28"/>
          <w:szCs w:val="28"/>
        </w:rPr>
        <w:t>基本支出315.19万元，其中：工资福利支出、商品和服务支出、对个人和家庭的补助支出。</w:t>
      </w:r>
    </w:p>
    <w:p>
      <w:pPr>
        <w:spacing w:line="360" w:lineRule="auto"/>
        <w:ind w:firstLine="544" w:firstLineChars="200"/>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fldChar w:fldCharType="begin"/>
      </w:r>
      <w:r>
        <w:rPr>
          <w:rStyle w:val="18"/>
          <w:rFonts w:ascii="仿宋_GB2312" w:hAnsi="楷体" w:eastAsia="仿宋_GB2312"/>
          <w:b w:val="0"/>
          <w:spacing w:val="-4"/>
          <w:sz w:val="28"/>
          <w:szCs w:val="28"/>
        </w:rPr>
        <w:instrText xml:space="preserve"> </w:instrText>
      </w:r>
      <w:r>
        <w:rPr>
          <w:rStyle w:val="18"/>
          <w:rFonts w:hint="eastAsia" w:ascii="仿宋_GB2312" w:hAnsi="楷体" w:eastAsia="仿宋_GB2312"/>
          <w:b w:val="0"/>
          <w:spacing w:val="-4"/>
          <w:sz w:val="28"/>
          <w:szCs w:val="28"/>
        </w:rPr>
        <w:instrText xml:space="preserve">= 2 \* GB3</w:instrText>
      </w:r>
      <w:r>
        <w:rPr>
          <w:rStyle w:val="18"/>
          <w:rFonts w:ascii="仿宋_GB2312" w:hAnsi="楷体" w:eastAsia="仿宋_GB2312"/>
          <w:b w:val="0"/>
          <w:spacing w:val="-4"/>
          <w:sz w:val="28"/>
          <w:szCs w:val="28"/>
        </w:rPr>
        <w:instrText xml:space="preserve"> </w:instrText>
      </w:r>
      <w:r>
        <w:rPr>
          <w:rStyle w:val="18"/>
          <w:rFonts w:ascii="仿宋_GB2312" w:hAnsi="楷体" w:eastAsia="仿宋_GB2312"/>
          <w:b w:val="0"/>
          <w:spacing w:val="-4"/>
          <w:sz w:val="28"/>
          <w:szCs w:val="28"/>
        </w:rPr>
        <w:fldChar w:fldCharType="separate"/>
      </w:r>
      <w:r>
        <w:rPr>
          <w:rStyle w:val="18"/>
          <w:rFonts w:hint="eastAsia" w:ascii="仿宋_GB2312" w:hAnsi="楷体" w:eastAsia="仿宋_GB2312"/>
          <w:b w:val="0"/>
          <w:spacing w:val="-4"/>
          <w:sz w:val="28"/>
          <w:szCs w:val="28"/>
        </w:rPr>
        <w:t>②</w:t>
      </w:r>
      <w:r>
        <w:rPr>
          <w:rStyle w:val="18"/>
          <w:rFonts w:ascii="仿宋_GB2312" w:hAnsi="楷体" w:eastAsia="仿宋_GB2312"/>
          <w:b w:val="0"/>
          <w:spacing w:val="-4"/>
          <w:sz w:val="28"/>
          <w:szCs w:val="28"/>
        </w:rPr>
        <w:fldChar w:fldCharType="end"/>
      </w:r>
      <w:r>
        <w:rPr>
          <w:rStyle w:val="18"/>
          <w:rFonts w:hint="eastAsia" w:ascii="仿宋_GB2312" w:hAnsi="楷体" w:eastAsia="仿宋_GB2312"/>
          <w:b w:val="0"/>
          <w:spacing w:val="-4"/>
          <w:sz w:val="28"/>
          <w:szCs w:val="28"/>
        </w:rPr>
        <w:t>项目支出104.86万元：2017年城乡综合建设项目（环境设施建设）勘察、设计项目资金，特克斯县2020年农村生活污水治理项目资金。</w:t>
      </w:r>
    </w:p>
    <w:p>
      <w:pPr>
        <w:spacing w:line="360" w:lineRule="auto"/>
        <w:ind w:firstLine="544" w:firstLineChars="200"/>
        <w:rPr>
          <w:rStyle w:val="18"/>
          <w:rFonts w:ascii="仿宋_GB2312" w:hAnsi="楷体" w:eastAsia="仿宋_GB2312"/>
          <w:b w:val="0"/>
          <w:spacing w:val="-4"/>
          <w:sz w:val="28"/>
          <w:szCs w:val="28"/>
        </w:rPr>
      </w:pPr>
    </w:p>
    <w:p>
      <w:pPr>
        <w:pStyle w:val="4"/>
        <w:spacing w:line="360" w:lineRule="auto"/>
        <w:rPr>
          <w:rFonts w:ascii="仿宋" w:hAnsi="仿宋" w:eastAsia="仿宋"/>
          <w:sz w:val="36"/>
          <w:szCs w:val="36"/>
        </w:rPr>
      </w:pPr>
      <w:bookmarkStart w:id="11" w:name="_Toc102042561"/>
      <w:bookmarkStart w:id="12" w:name="_Toc70450297"/>
      <w:r>
        <w:rPr>
          <w:rFonts w:hint="eastAsia" w:ascii="仿宋" w:hAnsi="仿宋" w:eastAsia="仿宋"/>
          <w:sz w:val="36"/>
          <w:szCs w:val="36"/>
        </w:rPr>
        <w:t>二、部门单位整体支出管理及使用情况</w:t>
      </w:r>
      <w:bookmarkEnd w:id="11"/>
      <w:bookmarkEnd w:id="12"/>
    </w:p>
    <w:p>
      <w:pPr>
        <w:pStyle w:val="2"/>
        <w:spacing w:line="360" w:lineRule="auto"/>
        <w:rPr>
          <w:rStyle w:val="18"/>
          <w:rFonts w:ascii="仿宋" w:hAnsi="仿宋" w:eastAsia="仿宋"/>
          <w:b/>
          <w:bCs/>
        </w:rPr>
      </w:pPr>
      <w:bookmarkStart w:id="13" w:name="_Toc70450298"/>
      <w:r>
        <w:rPr>
          <w:rStyle w:val="18"/>
          <w:rFonts w:hint="eastAsia" w:ascii="仿宋" w:hAnsi="仿宋" w:eastAsia="仿宋"/>
          <w:b/>
          <w:bCs/>
        </w:rPr>
        <w:t>（一）预算管理</w:t>
      </w:r>
      <w:bookmarkEnd w:id="13"/>
    </w:p>
    <w:p>
      <w:pPr>
        <w:pStyle w:val="5"/>
        <w:spacing w:line="360" w:lineRule="auto"/>
        <w:ind w:firstLine="562" w:firstLineChars="200"/>
        <w:rPr>
          <w:rStyle w:val="18"/>
          <w:rFonts w:ascii="仿宋" w:hAnsi="仿宋" w:eastAsia="仿宋"/>
          <w:b/>
          <w:bCs/>
        </w:rPr>
      </w:pPr>
      <w:bookmarkStart w:id="14" w:name="_Toc70450299"/>
      <w:r>
        <w:rPr>
          <w:rStyle w:val="18"/>
          <w:rFonts w:ascii="仿宋" w:hAnsi="仿宋" w:eastAsia="仿宋"/>
          <w:b/>
          <w:bCs/>
        </w:rPr>
        <w:t>1</w:t>
      </w:r>
      <w:r>
        <w:rPr>
          <w:rStyle w:val="18"/>
          <w:rFonts w:hint="eastAsia" w:ascii="仿宋" w:hAnsi="仿宋" w:eastAsia="仿宋"/>
          <w:b/>
          <w:bCs/>
        </w:rPr>
        <w:t>、预算编制管理</w:t>
      </w:r>
      <w:bookmarkEnd w:id="14"/>
    </w:p>
    <w:p>
      <w:pPr>
        <w:spacing w:line="360" w:lineRule="auto"/>
        <w:ind w:firstLine="506" w:firstLineChars="181"/>
        <w:rPr>
          <w:rStyle w:val="18"/>
          <w:rFonts w:asciiTheme="minorEastAsia" w:hAnsiTheme="minorEastAsia"/>
          <w:color w:val="FF0000"/>
          <w:spacing w:val="-4"/>
          <w:sz w:val="28"/>
          <w:szCs w:val="28"/>
        </w:rPr>
      </w:pPr>
      <w:r>
        <w:rPr>
          <w:rFonts w:hint="eastAsia" w:ascii="仿宋_GB2312" w:eastAsia="仿宋_GB2312"/>
          <w:sz w:val="28"/>
          <w:szCs w:val="36"/>
        </w:rPr>
        <w:t>我</w:t>
      </w:r>
      <w:r>
        <w:rPr>
          <w:rStyle w:val="18"/>
          <w:rFonts w:hint="eastAsia" w:ascii="仿宋_GB2312" w:hAnsi="楷体" w:eastAsia="仿宋_GB2312"/>
          <w:b w:val="0"/>
          <w:spacing w:val="-4"/>
          <w:sz w:val="28"/>
          <w:szCs w:val="28"/>
        </w:rPr>
        <w:t>单位伊犁哈萨克自治州生态环境局特克斯分局</w:t>
      </w:r>
      <w:r>
        <w:rPr>
          <w:rFonts w:hint="eastAsia" w:ascii="仿宋_GB2312" w:eastAsia="仿宋_GB2312"/>
          <w:sz w:val="28"/>
          <w:szCs w:val="36"/>
        </w:rPr>
        <w:t>严格按照财政部门预算编制与预算调整的工作要求，在预算编制、分配依据充分的条件下，切实做好“先定目标再编预算”，确保预算分配结果合理。同时按照预算编制要求，部门预算及绩效目标在地方政府政务网站公开，</w:t>
      </w:r>
      <w:r>
        <w:rPr>
          <w:rFonts w:ascii="仿宋_GB2312" w:eastAsia="仿宋_GB2312"/>
          <w:sz w:val="28"/>
          <w:szCs w:val="36"/>
          <w:lang w:val="zh-CN"/>
        </w:rPr>
        <w:t>广泛接受社会监督</w:t>
      </w:r>
      <w:r>
        <w:rPr>
          <w:rFonts w:hint="eastAsia" w:ascii="仿宋_GB2312" w:eastAsia="仿宋_GB2312"/>
          <w:sz w:val="28"/>
          <w:szCs w:val="36"/>
        </w:rPr>
        <w:t>。</w:t>
      </w:r>
    </w:p>
    <w:p>
      <w:pPr>
        <w:pStyle w:val="5"/>
        <w:spacing w:line="360" w:lineRule="auto"/>
        <w:ind w:firstLine="562" w:firstLineChars="200"/>
        <w:rPr>
          <w:rStyle w:val="18"/>
          <w:rFonts w:ascii="仿宋" w:hAnsi="仿宋" w:eastAsia="仿宋"/>
          <w:b/>
          <w:bCs/>
        </w:rPr>
      </w:pPr>
      <w:bookmarkStart w:id="15" w:name="_Toc70450300"/>
      <w:r>
        <w:rPr>
          <w:rStyle w:val="18"/>
          <w:rFonts w:hint="eastAsia" w:ascii="仿宋" w:hAnsi="仿宋" w:eastAsia="仿宋"/>
          <w:b/>
          <w:bCs/>
        </w:rPr>
        <w:t>2</w:t>
      </w:r>
      <w:r>
        <w:rPr>
          <w:rStyle w:val="18"/>
          <w:rFonts w:ascii="仿宋" w:hAnsi="仿宋" w:eastAsia="仿宋"/>
          <w:b/>
          <w:bCs/>
        </w:rPr>
        <w:t>、预算</w:t>
      </w:r>
      <w:r>
        <w:rPr>
          <w:rStyle w:val="18"/>
          <w:rFonts w:hint="eastAsia" w:ascii="仿宋" w:hAnsi="仿宋" w:eastAsia="仿宋"/>
          <w:b/>
          <w:bCs/>
        </w:rPr>
        <w:t>支出</w:t>
      </w:r>
      <w:r>
        <w:rPr>
          <w:rStyle w:val="18"/>
          <w:rFonts w:ascii="仿宋" w:hAnsi="仿宋" w:eastAsia="仿宋"/>
          <w:b/>
          <w:bCs/>
        </w:rPr>
        <w:t>管理</w:t>
      </w:r>
      <w:bookmarkEnd w:id="15"/>
    </w:p>
    <w:p>
      <w:pPr>
        <w:spacing w:line="360" w:lineRule="auto"/>
        <w:ind w:firstLine="560" w:firstLineChars="200"/>
        <w:rPr>
          <w:rStyle w:val="18"/>
          <w:b w:val="0"/>
          <w:bCs w:val="0"/>
        </w:rPr>
      </w:pPr>
      <w:r>
        <w:rPr>
          <w:rFonts w:hint="eastAsia" w:ascii="仿宋_GB2312" w:eastAsia="仿宋_GB2312"/>
          <w:sz w:val="28"/>
          <w:szCs w:val="36"/>
        </w:rPr>
        <w:t>我</w:t>
      </w:r>
      <w:r>
        <w:rPr>
          <w:rStyle w:val="18"/>
          <w:rFonts w:hint="eastAsia" w:ascii="仿宋_GB2312" w:hAnsi="楷体" w:eastAsia="仿宋_GB2312"/>
          <w:b w:val="0"/>
          <w:spacing w:val="-4"/>
          <w:sz w:val="28"/>
          <w:szCs w:val="28"/>
        </w:rPr>
        <w:t>单位伊犁哈萨克自治州生态环境局特克斯分局</w:t>
      </w:r>
      <w:r>
        <w:rPr>
          <w:rFonts w:hint="eastAsia" w:ascii="仿宋_GB2312" w:eastAsia="仿宋_GB2312"/>
          <w:sz w:val="28"/>
          <w:szCs w:val="36"/>
        </w:rPr>
        <w:t>按照财政要求基本支出分月度申报资金使用计划，由财政部门按照进度每月按期拨付，人员支出按照工资计划发放工资；依照《财政预算资金拨付管理暂行办法》规定流程，资金支出按照我内控体系中设定的流程申报审批进行；项目支出属于政府采购的，按照《采购与招标管理办法》组织人员制定采购计划，按照财政局采购部门批复，进行公开招标、邀请招标等方式进行；属于非政府采购的项目，按照“三重一大”制度规定，重大项目支出上党组会研究决定。</w:t>
      </w:r>
    </w:p>
    <w:p>
      <w:pPr>
        <w:pStyle w:val="2"/>
        <w:spacing w:line="360" w:lineRule="auto"/>
        <w:rPr>
          <w:rStyle w:val="18"/>
          <w:b/>
          <w:bCs/>
          <w:sz w:val="28"/>
          <w:szCs w:val="28"/>
        </w:rPr>
      </w:pPr>
      <w:bookmarkStart w:id="16" w:name="_Toc70450301"/>
      <w:r>
        <w:rPr>
          <w:rStyle w:val="18"/>
          <w:rFonts w:hint="eastAsia"/>
          <w:b/>
          <w:bCs/>
          <w:sz w:val="28"/>
          <w:szCs w:val="28"/>
        </w:rPr>
        <w:t>（二）基本支出管理及使用情况</w:t>
      </w:r>
      <w:bookmarkEnd w:id="16"/>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2021年基本支出预算安排</w:t>
      </w:r>
      <w:r>
        <w:rPr>
          <w:rStyle w:val="18"/>
          <w:rFonts w:hint="eastAsia" w:ascii="仿宋_GB2312" w:hAnsi="楷体" w:eastAsia="仿宋_GB2312"/>
          <w:b w:val="0"/>
          <w:spacing w:val="-4"/>
          <w:sz w:val="28"/>
          <w:szCs w:val="28"/>
          <w:lang w:val="en-US" w:eastAsia="zh-CN"/>
        </w:rPr>
        <w:t>315.19</w:t>
      </w:r>
      <w:r>
        <w:rPr>
          <w:rStyle w:val="18"/>
          <w:rFonts w:hint="eastAsia" w:ascii="仿宋_GB2312" w:hAnsi="楷体" w:eastAsia="仿宋_GB2312"/>
          <w:b w:val="0"/>
          <w:spacing w:val="-4"/>
          <w:sz w:val="28"/>
          <w:szCs w:val="28"/>
        </w:rPr>
        <w:t>万元，实际到位</w:t>
      </w:r>
      <w:r>
        <w:rPr>
          <w:rStyle w:val="18"/>
          <w:rFonts w:hint="eastAsia" w:ascii="仿宋_GB2312" w:hAnsi="楷体" w:eastAsia="仿宋_GB2312"/>
          <w:b w:val="0"/>
          <w:spacing w:val="-4"/>
          <w:sz w:val="28"/>
          <w:szCs w:val="28"/>
          <w:lang w:val="en-US" w:eastAsia="zh-CN"/>
        </w:rPr>
        <w:t>315.19</w:t>
      </w:r>
      <w:r>
        <w:rPr>
          <w:rStyle w:val="18"/>
          <w:rFonts w:hint="eastAsia" w:ascii="仿宋_GB2312" w:hAnsi="楷体" w:eastAsia="仿宋_GB2312"/>
          <w:b w:val="0"/>
          <w:spacing w:val="-4"/>
          <w:sz w:val="28"/>
          <w:szCs w:val="28"/>
        </w:rPr>
        <w:t>万元,实际支出</w:t>
      </w:r>
      <w:r>
        <w:rPr>
          <w:rStyle w:val="18"/>
          <w:rFonts w:hint="eastAsia" w:ascii="仿宋_GB2312" w:hAnsi="楷体" w:eastAsia="仿宋_GB2312"/>
          <w:b w:val="0"/>
          <w:spacing w:val="-4"/>
          <w:sz w:val="28"/>
          <w:szCs w:val="28"/>
          <w:lang w:val="en-US" w:eastAsia="zh-CN"/>
        </w:rPr>
        <w:t>315.19</w:t>
      </w:r>
      <w:r>
        <w:rPr>
          <w:rStyle w:val="18"/>
          <w:rFonts w:hint="eastAsia" w:ascii="仿宋_GB2312" w:hAnsi="楷体" w:eastAsia="仿宋_GB2312"/>
          <w:b w:val="0"/>
          <w:spacing w:val="-4"/>
          <w:sz w:val="28"/>
          <w:szCs w:val="28"/>
        </w:rPr>
        <w:t>万元，</w:t>
      </w:r>
      <w:r>
        <w:rPr>
          <w:rStyle w:val="18"/>
          <w:rFonts w:hint="eastAsia" w:ascii="仿宋_GB2312" w:hAnsi="楷体" w:eastAsia="仿宋_GB2312"/>
          <w:b w:val="0"/>
          <w:spacing w:val="-4"/>
          <w:sz w:val="28"/>
          <w:szCs w:val="28"/>
          <w:highlight w:val="none"/>
        </w:rPr>
        <w:t>占总支出的</w:t>
      </w:r>
      <w:r>
        <w:rPr>
          <w:rStyle w:val="18"/>
          <w:rFonts w:hint="eastAsia" w:ascii="仿宋_GB2312" w:hAnsi="楷体" w:eastAsia="仿宋_GB2312"/>
          <w:b w:val="0"/>
          <w:spacing w:val="-4"/>
          <w:sz w:val="28"/>
          <w:szCs w:val="28"/>
        </w:rPr>
        <w:t>75.04％，其中：工资福利支出245.18万元，主要用于在职人员基本工资、津贴补贴等人员经费；商品和服务支出66.34万元，主要用于办公费、印刷费、水电费、办公设备购置等；对个人和家庭的补助3.67万元，主要用于退休费、生活补助、奖励金等。</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2021年基本支出比上年265.35万元,增加49.84万元，上升18.78</w:t>
      </w:r>
      <w:r>
        <w:rPr>
          <w:rStyle w:val="18"/>
          <w:rFonts w:ascii="仿宋_GB2312" w:hAnsi="宋体" w:eastAsia="仿宋_GB2312"/>
          <w:b w:val="0"/>
          <w:bCs w:val="0"/>
          <w:spacing w:val="-4"/>
          <w:sz w:val="28"/>
          <w:szCs w:val="28"/>
        </w:rPr>
        <w:t>%</w:t>
      </w:r>
      <w:r>
        <w:rPr>
          <w:rStyle w:val="18"/>
          <w:rFonts w:hint="eastAsia" w:ascii="仿宋_GB2312" w:hAnsi="楷体" w:eastAsia="仿宋_GB2312"/>
          <w:b w:val="0"/>
          <w:spacing w:val="-4"/>
          <w:sz w:val="28"/>
          <w:szCs w:val="28"/>
        </w:rPr>
        <w:t>，支出上升的主要原因是：工资上调，社保、公积金调增；新增事业编一人，支付2018-2019年度县域、农村生态环境质量、生态功能区监测服务费。</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年一般公共预算“三公”经费数为0.8万元，其中：因公出国（境）费0万元，公务用车购置0万元，公务用车运行费0.8万元，公务接待费0万元。</w:t>
      </w:r>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一般公共预算“三公”经费比上年增加0万元，其中：因公出国（境）费增加0万元，主要原因是：未安排预算；公务用车购置费为0，未安排预算；公务用车运行费增加0万元，主要原因是：与上年度持平；公务接待费增加0万元，主要原因是：未安排预算。</w:t>
      </w:r>
    </w:p>
    <w:p>
      <w:pPr>
        <w:pStyle w:val="2"/>
        <w:spacing w:line="360" w:lineRule="auto"/>
        <w:rPr>
          <w:rStyle w:val="18"/>
          <w:rFonts w:ascii="仿宋" w:hAnsi="仿宋" w:eastAsia="仿宋"/>
          <w:b/>
          <w:bCs/>
        </w:rPr>
      </w:pPr>
      <w:bookmarkStart w:id="17" w:name="_Toc70450302"/>
      <w:r>
        <w:rPr>
          <w:rStyle w:val="18"/>
          <w:rFonts w:hint="eastAsia" w:ascii="仿宋" w:hAnsi="仿宋" w:eastAsia="仿宋"/>
          <w:b/>
          <w:bCs/>
        </w:rPr>
        <w:t>（三）专项支出管理及使用情况</w:t>
      </w:r>
      <w:bookmarkEnd w:id="17"/>
    </w:p>
    <w:p>
      <w:pPr>
        <w:pStyle w:val="5"/>
        <w:spacing w:line="360" w:lineRule="auto"/>
        <w:ind w:firstLine="562" w:firstLineChars="200"/>
        <w:rPr>
          <w:rStyle w:val="18"/>
          <w:rFonts w:ascii="仿宋" w:hAnsi="仿宋" w:eastAsia="仿宋"/>
          <w:b/>
          <w:bCs/>
        </w:rPr>
      </w:pPr>
      <w:bookmarkStart w:id="18" w:name="_Toc70450303"/>
      <w:r>
        <w:rPr>
          <w:rStyle w:val="18"/>
          <w:rFonts w:hint="eastAsia" w:ascii="仿宋" w:hAnsi="仿宋" w:eastAsia="仿宋"/>
          <w:b/>
          <w:bCs/>
        </w:rPr>
        <w:t>1、专项资金安排落实、总投入等情况分析</w:t>
      </w:r>
      <w:bookmarkEnd w:id="18"/>
    </w:p>
    <w:p>
      <w:pPr>
        <w:spacing w:line="360" w:lineRule="auto"/>
        <w:ind w:firstLine="492" w:firstLineChars="181"/>
        <w:rPr>
          <w:rStyle w:val="18"/>
          <w:rFonts w:ascii="仿宋_GB2312" w:hAnsi="楷体" w:eastAsia="仿宋_GB2312"/>
          <w:b w:val="0"/>
          <w:spacing w:val="-4"/>
          <w:sz w:val="28"/>
          <w:szCs w:val="28"/>
        </w:rPr>
      </w:pP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年预算安排专项资金57.7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万元，实际到位57.7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w:t>
      </w:r>
      <w:r>
        <w:rPr>
          <w:rFonts w:hint="eastAsia"/>
        </w:rPr>
        <w:t xml:space="preserve"> </w:t>
      </w:r>
      <w:r>
        <w:rPr>
          <w:rStyle w:val="18"/>
          <w:rFonts w:hint="eastAsia" w:ascii="仿宋_GB2312" w:hAnsi="楷体" w:eastAsia="仿宋_GB2312"/>
          <w:b w:val="0"/>
          <w:spacing w:val="-4"/>
          <w:sz w:val="28"/>
          <w:szCs w:val="28"/>
        </w:rPr>
        <w:t>到位率100％,其中:中央转移支付项目资金57.7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万元，自治区资金0万元，本级安排0万元。</w:t>
      </w:r>
    </w:p>
    <w:p>
      <w:pPr>
        <w:pStyle w:val="5"/>
        <w:spacing w:line="360" w:lineRule="auto"/>
        <w:ind w:firstLine="562" w:firstLineChars="200"/>
        <w:rPr>
          <w:rStyle w:val="18"/>
          <w:rFonts w:ascii="仿宋" w:hAnsi="仿宋" w:eastAsia="仿宋"/>
          <w:b/>
          <w:bCs/>
        </w:rPr>
      </w:pPr>
      <w:bookmarkStart w:id="19" w:name="_Toc70450304"/>
      <w:r>
        <w:rPr>
          <w:rStyle w:val="18"/>
          <w:rFonts w:hint="eastAsia" w:ascii="仿宋" w:hAnsi="仿宋" w:eastAsia="仿宋"/>
          <w:b/>
          <w:bCs/>
        </w:rPr>
        <w:t>2、专项资金实际使用情况</w:t>
      </w:r>
      <w:bookmarkEnd w:id="19"/>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2021年专项资金支出57.7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万元，占总支出的13.74％，其中2021年专项项目支出比上年51万元增加6.7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万元，上升13.14%。支出上升的主要原因是项目资金增加。其中：特克斯县2020年农村生活污水治理项目安排57.7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万元，主要用于完成特克斯县喀拉托海镇铁热克提村站房设备基础检查井工程、40处理量一体化污水处理设备采购、及污水处理站配套设施建设。</w:t>
      </w:r>
    </w:p>
    <w:p>
      <w:pPr>
        <w:spacing w:line="360" w:lineRule="auto"/>
        <w:ind w:firstLine="492" w:firstLineChars="181"/>
        <w:rPr>
          <w:rStyle w:val="18"/>
          <w:rFonts w:ascii="仿宋_GB2312" w:hAnsi="楷体" w:eastAsia="仿宋_GB2312"/>
          <w:b w:val="0"/>
          <w:spacing w:val="-4"/>
          <w:sz w:val="28"/>
          <w:szCs w:val="28"/>
        </w:rPr>
      </w:pPr>
    </w:p>
    <w:p>
      <w:pPr>
        <w:pStyle w:val="5"/>
        <w:spacing w:line="360" w:lineRule="auto"/>
        <w:ind w:firstLine="562" w:firstLineChars="200"/>
        <w:rPr>
          <w:rStyle w:val="18"/>
          <w:rFonts w:ascii="仿宋" w:hAnsi="仿宋" w:eastAsia="仿宋"/>
          <w:b/>
          <w:bCs/>
        </w:rPr>
      </w:pPr>
      <w:bookmarkStart w:id="20" w:name="_Toc70450305"/>
      <w:r>
        <w:rPr>
          <w:rStyle w:val="18"/>
          <w:rFonts w:hint="eastAsia" w:ascii="仿宋" w:hAnsi="仿宋" w:eastAsia="仿宋"/>
          <w:b/>
          <w:bCs/>
        </w:rPr>
        <w:t>3、专项资金管理情况</w:t>
      </w:r>
      <w:bookmarkEnd w:id="20"/>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为规范专项资金使用，提高专项资金使用效益，我部门伊犁哈萨克自治州生态环境局特克斯分局主要采取四项措施。</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（1）制定了《专项资金管理办法》，各项资金使用审批流程均按规定办理。涉及“三重一大”内容，严格按照规定提请局党组会审议决定，包括项目资金分配、重大项目确定、大额资金支付等。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w:t>
      </w:r>
      <w:r>
        <w:rPr>
          <w:rStyle w:val="18"/>
          <w:rFonts w:ascii="仿宋_GB2312" w:hAnsi="楷体" w:eastAsia="仿宋_GB2312"/>
          <w:b w:val="0"/>
          <w:spacing w:val="-4"/>
          <w:sz w:val="28"/>
          <w:szCs w:val="28"/>
        </w:rPr>
        <w:t>2</w:t>
      </w:r>
      <w:r>
        <w:rPr>
          <w:rStyle w:val="18"/>
          <w:rFonts w:hint="eastAsia" w:ascii="仿宋_GB2312" w:hAnsi="楷体" w:eastAsia="仿宋_GB2312"/>
          <w:b w:val="0"/>
          <w:spacing w:val="-4"/>
          <w:sz w:val="28"/>
          <w:szCs w:val="28"/>
        </w:rPr>
        <w:t>）建立特克斯县2020年农村生活污水治理项目专项资金专帐，做到有据可依，有据可查。</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（3）制订了特克斯县2020年农村生活污水治理项目实施方案，确保项目顺利完成。</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（4）认真组织特克斯县2020年农村生活污水治理项目项目验收，确保资金按项目进度支付到位。</w:t>
      </w:r>
    </w:p>
    <w:p>
      <w:pPr>
        <w:spacing w:line="360" w:lineRule="auto"/>
        <w:ind w:firstLine="492" w:firstLineChars="181"/>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专项资金涉及政府采购项目的，按照《采购与招标管理办法》组织人员制定采购计划，按照财政局采购部门批复，进行公开招标、邀请招标等方式进行。</w:t>
      </w:r>
    </w:p>
    <w:p>
      <w:pPr>
        <w:spacing w:line="360" w:lineRule="auto"/>
        <w:ind w:firstLine="492" w:firstLineChars="181"/>
        <w:rPr>
          <w:rStyle w:val="18"/>
          <w:rFonts w:ascii="仿宋_GB2312" w:hAnsi="楷体" w:eastAsia="仿宋_GB2312"/>
          <w:b w:val="0"/>
          <w:spacing w:val="-4"/>
          <w:sz w:val="28"/>
          <w:szCs w:val="28"/>
        </w:rPr>
      </w:pPr>
    </w:p>
    <w:p>
      <w:pPr>
        <w:pStyle w:val="4"/>
        <w:spacing w:line="360" w:lineRule="auto"/>
        <w:rPr>
          <w:rFonts w:ascii="仿宋" w:hAnsi="仿宋" w:eastAsia="仿宋"/>
          <w:sz w:val="36"/>
          <w:szCs w:val="36"/>
        </w:rPr>
      </w:pPr>
      <w:bookmarkStart w:id="21" w:name="_Toc70450306"/>
      <w:bookmarkStart w:id="22" w:name="_Toc102042562"/>
      <w:r>
        <w:rPr>
          <w:rFonts w:hint="eastAsia" w:ascii="仿宋" w:hAnsi="仿宋" w:eastAsia="仿宋"/>
          <w:sz w:val="36"/>
          <w:szCs w:val="36"/>
        </w:rPr>
        <w:t>三、部门单位专项组织实施情况</w:t>
      </w:r>
      <w:bookmarkEnd w:id="21"/>
      <w:bookmarkEnd w:id="22"/>
    </w:p>
    <w:p>
      <w:pPr>
        <w:pStyle w:val="5"/>
        <w:numPr>
          <w:ilvl w:val="0"/>
          <w:numId w:val="1"/>
        </w:numPr>
        <w:spacing w:line="360" w:lineRule="auto"/>
        <w:rPr>
          <w:rStyle w:val="18"/>
          <w:rFonts w:ascii="仿宋" w:hAnsi="仿宋" w:eastAsia="仿宋"/>
          <w:b/>
          <w:bCs/>
        </w:rPr>
      </w:pPr>
      <w:bookmarkStart w:id="23" w:name="_Toc70450308"/>
      <w:r>
        <w:rPr>
          <w:rStyle w:val="18"/>
          <w:rFonts w:hint="eastAsia" w:ascii="仿宋" w:hAnsi="仿宋" w:eastAsia="仿宋"/>
          <w:b/>
          <w:bCs/>
        </w:rPr>
        <w:t>专项组织情况分析</w:t>
      </w:r>
      <w:bookmarkEnd w:id="23"/>
    </w:p>
    <w:p>
      <w:pPr>
        <w:snapToGrid w:val="0"/>
        <w:spacing w:line="360" w:lineRule="auto"/>
        <w:ind w:firstLine="544" w:firstLineChars="200"/>
        <w:rPr>
          <w:rStyle w:val="18"/>
          <w:rFonts w:ascii="仿宋_GB2312" w:hAnsi="楷体" w:eastAsia="仿宋_GB2312"/>
          <w:b w:val="0"/>
          <w:bCs w:val="0"/>
          <w:color w:val="FF0000"/>
          <w:spacing w:val="-4"/>
          <w:sz w:val="28"/>
          <w:szCs w:val="28"/>
        </w:rPr>
      </w:pPr>
      <w:r>
        <w:rPr>
          <w:rStyle w:val="18"/>
          <w:rFonts w:hint="eastAsia" w:ascii="仿宋_GB2312" w:hAnsi="楷体" w:eastAsia="仿宋_GB2312"/>
          <w:b w:val="0"/>
          <w:bCs w:val="0"/>
          <w:spacing w:val="-4"/>
          <w:sz w:val="28"/>
          <w:szCs w:val="28"/>
        </w:rPr>
        <w:t>1、前期准备</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spacing w:val="-4"/>
          <w:sz w:val="28"/>
          <w:szCs w:val="28"/>
        </w:rPr>
        <w:t>年初我单位伊犁哈萨克自治州生态环境局特克斯分局下发的专项工作计划，对项目的工作分工、任务分配、资金落实、完成时</w:t>
      </w:r>
      <w:r>
        <w:rPr>
          <w:rStyle w:val="18"/>
          <w:rFonts w:hint="eastAsia" w:ascii="仿宋_GB2312" w:hAnsi="楷体" w:eastAsia="仿宋_GB2312"/>
          <w:b w:val="0"/>
          <w:bCs w:val="0"/>
          <w:spacing w:val="-4"/>
          <w:sz w:val="28"/>
          <w:szCs w:val="28"/>
        </w:rPr>
        <w:t>限等提出了明确、具体的要求，以确保项目保质、保量、按时完成。详细如下：收集项目成立背景资料、项目完成进度、预算编制等资料，并组织绩效评价自评小组对部门相关文件进行研读，梳理并确认工作任务及要求、单位内部管理制度等。梳理202</w:t>
      </w:r>
      <w:r>
        <w:rPr>
          <w:rStyle w:val="18"/>
          <w:rFonts w:ascii="仿宋_GB2312" w:hAnsi="楷体" w:eastAsia="仿宋_GB2312"/>
          <w:b w:val="0"/>
          <w:bCs w:val="0"/>
          <w:spacing w:val="-4"/>
          <w:sz w:val="28"/>
          <w:szCs w:val="28"/>
        </w:rPr>
        <w:t>1</w:t>
      </w:r>
      <w:r>
        <w:rPr>
          <w:rStyle w:val="18"/>
          <w:rFonts w:hint="eastAsia" w:ascii="仿宋_GB2312" w:hAnsi="楷体" w:eastAsia="仿宋_GB2312"/>
          <w:b w:val="0"/>
          <w:bCs w:val="0"/>
          <w:spacing w:val="-4"/>
          <w:sz w:val="28"/>
          <w:szCs w:val="28"/>
        </w:rPr>
        <w:t>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2、组织实施</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我单位通过政策学习和前期调研等方式，收集、整理、总结年度工作计划以及专项项目实施情况。对于专项资金项目下达的绩效目标表，按照下达绩效目标，立足实际完成情况，开展专项项目绩效自评。对于未下达绩效目标表的项目，由我单位自行设定并经财政审核备案后，实施专项项目绩效自评。自评内容主要包括以下两个方面：</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一是对专项项目预算执行情况进行分析，再考察专项项目产出、项目目标的实现程度和管理有效性，从而总结项目取得的业绩和经验，发现项目存在的不足之处。</w:t>
      </w:r>
    </w:p>
    <w:p>
      <w:pPr>
        <w:snapToGrid w:val="0"/>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w:t>
      </w:r>
    </w:p>
    <w:p>
      <w:pPr>
        <w:snapToGrid w:val="0"/>
        <w:spacing w:line="360" w:lineRule="auto"/>
        <w:ind w:firstLine="544" w:firstLineChars="200"/>
        <w:rPr>
          <w:rStyle w:val="18"/>
          <w:rFonts w:ascii="宋体" w:hAnsi="宋体" w:eastAsia="宋体"/>
          <w:color w:val="FF0000"/>
          <w:spacing w:val="-4"/>
          <w:sz w:val="28"/>
          <w:szCs w:val="28"/>
        </w:rPr>
      </w:pPr>
      <w:r>
        <w:rPr>
          <w:rStyle w:val="18"/>
          <w:rFonts w:hint="eastAsia" w:ascii="仿宋_GB2312" w:hAnsi="楷体" w:eastAsia="仿宋_GB2312"/>
          <w:b w:val="0"/>
          <w:bCs w:val="0"/>
          <w:spacing w:val="-4"/>
          <w:sz w:val="28"/>
          <w:szCs w:val="28"/>
        </w:rPr>
        <w:t>截止12月31日，该专项均按照时间计划保质、保量完成。</w:t>
      </w:r>
    </w:p>
    <w:p>
      <w:pPr>
        <w:pStyle w:val="5"/>
        <w:numPr>
          <w:ilvl w:val="0"/>
          <w:numId w:val="1"/>
        </w:numPr>
        <w:spacing w:line="360" w:lineRule="auto"/>
        <w:rPr>
          <w:rStyle w:val="18"/>
          <w:rFonts w:ascii="仿宋" w:hAnsi="仿宋" w:eastAsia="仿宋"/>
          <w:b/>
          <w:bCs/>
        </w:rPr>
      </w:pPr>
      <w:bookmarkStart w:id="24" w:name="_Toc70450309"/>
      <w:r>
        <w:rPr>
          <w:rStyle w:val="18"/>
          <w:rFonts w:hint="eastAsia" w:ascii="仿宋" w:hAnsi="仿宋" w:eastAsia="仿宋"/>
          <w:b/>
          <w:bCs/>
        </w:rPr>
        <w:t>专项管理情况分析</w:t>
      </w:r>
      <w:bookmarkEnd w:id="24"/>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1、资金到位及使用情况</w:t>
      </w:r>
    </w:p>
    <w:p>
      <w:pPr>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楷体" w:eastAsia="仿宋_GB2312"/>
          <w:b w:val="0"/>
          <w:spacing w:val="-4"/>
          <w:sz w:val="28"/>
          <w:szCs w:val="28"/>
        </w:rPr>
        <w:t>2</w:t>
      </w:r>
      <w:r>
        <w:rPr>
          <w:rStyle w:val="18"/>
          <w:rFonts w:ascii="仿宋_GB2312" w:hAnsi="楷体" w:eastAsia="仿宋_GB2312"/>
          <w:b w:val="0"/>
          <w:spacing w:val="-4"/>
          <w:sz w:val="28"/>
          <w:szCs w:val="28"/>
        </w:rPr>
        <w:t>021</w:t>
      </w:r>
      <w:r>
        <w:rPr>
          <w:rStyle w:val="18"/>
          <w:rFonts w:hint="eastAsia" w:ascii="仿宋_GB2312" w:hAnsi="楷体" w:eastAsia="仿宋_GB2312"/>
          <w:b w:val="0"/>
          <w:spacing w:val="-4"/>
          <w:sz w:val="28"/>
          <w:szCs w:val="28"/>
        </w:rPr>
        <w:t>年涉及专项资金57.7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万元，实际到位57.7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万元，资金到位率100%。截止到</w:t>
      </w:r>
      <w:r>
        <w:rPr>
          <w:rStyle w:val="18"/>
          <w:rFonts w:ascii="仿宋_GB2312" w:hAnsi="楷体" w:eastAsia="仿宋_GB2312"/>
          <w:b w:val="0"/>
          <w:spacing w:val="-4"/>
          <w:sz w:val="28"/>
          <w:szCs w:val="28"/>
        </w:rPr>
        <w:t>2021</w:t>
      </w:r>
      <w:r>
        <w:rPr>
          <w:rStyle w:val="18"/>
          <w:rFonts w:hint="eastAsia" w:ascii="仿宋_GB2312" w:hAnsi="楷体" w:eastAsia="仿宋_GB2312"/>
          <w:b w:val="0"/>
          <w:spacing w:val="-4"/>
          <w:sz w:val="28"/>
          <w:szCs w:val="28"/>
        </w:rPr>
        <w:t>年1</w:t>
      </w:r>
      <w:r>
        <w:rPr>
          <w:rStyle w:val="18"/>
          <w:rFonts w:ascii="仿宋_GB2312" w:hAnsi="楷体" w:eastAsia="仿宋_GB2312"/>
          <w:b w:val="0"/>
          <w:spacing w:val="-4"/>
          <w:sz w:val="28"/>
          <w:szCs w:val="28"/>
        </w:rPr>
        <w:t>2</w:t>
      </w:r>
      <w:r>
        <w:rPr>
          <w:rStyle w:val="18"/>
          <w:rFonts w:hint="eastAsia" w:ascii="仿宋_GB2312" w:hAnsi="楷体" w:eastAsia="仿宋_GB2312"/>
          <w:b w:val="0"/>
          <w:spacing w:val="-4"/>
          <w:sz w:val="28"/>
          <w:szCs w:val="28"/>
        </w:rPr>
        <w:t>月31日执行57.7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万元，执行率100%。其中：20</w:t>
      </w:r>
      <w:r>
        <w:rPr>
          <w:rStyle w:val="18"/>
          <w:rFonts w:ascii="仿宋_GB2312" w:hAnsi="楷体" w:eastAsia="仿宋_GB2312"/>
          <w:b w:val="0"/>
          <w:spacing w:val="-4"/>
          <w:sz w:val="28"/>
          <w:szCs w:val="28"/>
        </w:rPr>
        <w:t>21</w:t>
      </w:r>
      <w:r>
        <w:rPr>
          <w:rStyle w:val="18"/>
          <w:rFonts w:hint="eastAsia" w:ascii="仿宋_GB2312" w:hAnsi="楷体" w:eastAsia="仿宋_GB2312"/>
          <w:b w:val="0"/>
          <w:spacing w:val="-4"/>
          <w:sz w:val="28"/>
          <w:szCs w:val="28"/>
        </w:rPr>
        <w:t>年结转专项资金</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万元，实际执行</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万元，执行率为</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；202</w:t>
      </w:r>
      <w:r>
        <w:rPr>
          <w:rStyle w:val="18"/>
          <w:rFonts w:ascii="仿宋_GB2312" w:hAnsi="楷体" w:eastAsia="仿宋_GB2312"/>
          <w:b w:val="0"/>
          <w:spacing w:val="-4"/>
          <w:sz w:val="28"/>
          <w:szCs w:val="28"/>
        </w:rPr>
        <w:t>1</w:t>
      </w:r>
      <w:r>
        <w:rPr>
          <w:rStyle w:val="18"/>
          <w:rFonts w:hint="eastAsia" w:ascii="仿宋_GB2312" w:hAnsi="楷体" w:eastAsia="仿宋_GB2312"/>
          <w:b w:val="0"/>
          <w:spacing w:val="-4"/>
          <w:sz w:val="28"/>
          <w:szCs w:val="28"/>
        </w:rPr>
        <w:t>年新增专项资金57.7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万元，实际执行57.7</w:t>
      </w:r>
      <w:r>
        <w:rPr>
          <w:rStyle w:val="18"/>
          <w:rFonts w:hint="eastAsia" w:ascii="仿宋_GB2312" w:hAnsi="楷体" w:eastAsia="仿宋_GB2312"/>
          <w:b w:val="0"/>
          <w:spacing w:val="-4"/>
          <w:sz w:val="28"/>
          <w:szCs w:val="28"/>
          <w:lang w:val="en-US" w:eastAsia="zh-CN"/>
        </w:rPr>
        <w:t>0</w:t>
      </w:r>
      <w:r>
        <w:rPr>
          <w:rStyle w:val="18"/>
          <w:rFonts w:hint="eastAsia" w:ascii="仿宋_GB2312" w:hAnsi="楷体" w:eastAsia="仿宋_GB2312"/>
          <w:b w:val="0"/>
          <w:spacing w:val="-4"/>
          <w:sz w:val="28"/>
          <w:szCs w:val="28"/>
        </w:rPr>
        <w:t>万元，执行率为100%。</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2、资金管理情况</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我单位严格执行《专项资金管理办法》文件精神要求，加强对专项资金的绩效管理，确保专款专用，提高专项资金使用效益。遵守相关法律法规，严肃财经纪律，自觉接受财政、审计、监察监督检查。</w:t>
      </w:r>
    </w:p>
    <w:p>
      <w:pPr>
        <w:pStyle w:val="5"/>
        <w:numPr>
          <w:ilvl w:val="0"/>
          <w:numId w:val="1"/>
        </w:numPr>
        <w:spacing w:line="360" w:lineRule="auto"/>
        <w:rPr>
          <w:rStyle w:val="18"/>
          <w:rFonts w:ascii="仿宋" w:hAnsi="仿宋" w:eastAsia="仿宋"/>
          <w:b/>
          <w:bCs/>
        </w:rPr>
      </w:pPr>
      <w:r>
        <w:rPr>
          <w:rStyle w:val="18"/>
          <w:rFonts w:hint="eastAsia" w:ascii="仿宋" w:hAnsi="仿宋" w:eastAsia="仿宋"/>
          <w:b/>
          <w:bCs/>
        </w:rPr>
        <w:t>项目实施情况分析</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w:t>
      </w:r>
      <w:r>
        <w:rPr>
          <w:rStyle w:val="18"/>
          <w:rFonts w:ascii="仿宋_GB2312" w:hAnsi="楷体" w:eastAsia="仿宋_GB2312"/>
          <w:b w:val="0"/>
          <w:spacing w:val="-4"/>
          <w:sz w:val="28"/>
          <w:szCs w:val="28"/>
        </w:rPr>
        <w:t>、组织情况</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伊犁哈萨克自治州生态环境局特克斯分局，根据202</w:t>
      </w:r>
      <w:r>
        <w:rPr>
          <w:rStyle w:val="18"/>
          <w:rFonts w:ascii="仿宋_GB2312" w:hAnsi="楷体" w:eastAsia="仿宋_GB2312"/>
          <w:b w:val="0"/>
          <w:spacing w:val="-4"/>
          <w:sz w:val="28"/>
          <w:szCs w:val="28"/>
        </w:rPr>
        <w:t>1</w:t>
      </w:r>
      <w:r>
        <w:rPr>
          <w:rStyle w:val="18"/>
          <w:rFonts w:hint="eastAsia" w:ascii="仿宋_GB2312" w:hAnsi="楷体" w:eastAsia="仿宋_GB2312"/>
          <w:b w:val="0"/>
          <w:spacing w:val="-4"/>
          <w:sz w:val="28"/>
          <w:szCs w:val="28"/>
        </w:rPr>
        <w:t>年</w:t>
      </w:r>
      <w:r>
        <w:rPr>
          <w:rStyle w:val="18"/>
          <w:rFonts w:hint="eastAsia" w:ascii="仿宋_GB2312" w:hAnsi="楷体" w:eastAsia="仿宋_GB2312"/>
          <w:b w:val="0"/>
          <w:spacing w:val="-4"/>
          <w:sz w:val="28"/>
          <w:szCs w:val="28"/>
          <w:lang w:val="en-US" w:eastAsia="zh-CN"/>
        </w:rPr>
        <w:t>1</w:t>
      </w:r>
      <w:r>
        <w:rPr>
          <w:rStyle w:val="18"/>
          <w:rFonts w:hint="eastAsia" w:ascii="仿宋_GB2312" w:hAnsi="楷体" w:eastAsia="仿宋_GB2312"/>
          <w:b w:val="0"/>
          <w:spacing w:val="-4"/>
          <w:sz w:val="28"/>
          <w:szCs w:val="28"/>
        </w:rPr>
        <w:t>个项目的绩效目标及工作内容，将其细化分工至本单位2个科室（办公室和财务室），加强组织领导，明确分工，各司其职，抓好工作目标任务的落实完成，同时年中要求各科室按照年初预算对本科室绩效工作进行自查自评，并报上半年工作情况总结，</w:t>
      </w:r>
      <w:r>
        <w:rPr>
          <w:rStyle w:val="18"/>
          <w:rFonts w:ascii="仿宋_GB2312" w:hAnsi="楷体" w:eastAsia="仿宋_GB2312"/>
          <w:b w:val="0"/>
          <w:spacing w:val="-4"/>
          <w:sz w:val="28"/>
          <w:szCs w:val="28"/>
        </w:rPr>
        <w:t>5</w:t>
      </w:r>
      <w:r>
        <w:rPr>
          <w:rStyle w:val="18"/>
          <w:rFonts w:hint="eastAsia" w:ascii="仿宋_GB2312" w:hAnsi="楷体" w:eastAsia="仿宋_GB2312"/>
          <w:b w:val="0"/>
          <w:spacing w:val="-4"/>
          <w:sz w:val="28"/>
          <w:szCs w:val="28"/>
        </w:rPr>
        <w:t>月和8月对工作情况进行跟踪检查，确保绩效目标如期实现，不断提高财政资金配置和使用效益。</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w:t>
      </w:r>
      <w:r>
        <w:rPr>
          <w:rStyle w:val="18"/>
          <w:rFonts w:ascii="仿宋_GB2312" w:hAnsi="楷体" w:eastAsia="仿宋_GB2312"/>
          <w:b w:val="0"/>
          <w:spacing w:val="-4"/>
          <w:sz w:val="28"/>
          <w:szCs w:val="28"/>
        </w:rPr>
        <w:t>、管理情况</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伊犁哈萨克自治州生态环境局特克斯分局实施的</w:t>
      </w:r>
      <w:r>
        <w:rPr>
          <w:rStyle w:val="18"/>
          <w:rFonts w:hint="eastAsia" w:ascii="仿宋_GB2312" w:hAnsi="楷体" w:eastAsia="仿宋_GB2312"/>
          <w:b w:val="0"/>
          <w:spacing w:val="-4"/>
          <w:sz w:val="28"/>
          <w:szCs w:val="28"/>
          <w:lang w:val="en-US" w:eastAsia="zh-CN"/>
        </w:rPr>
        <w:t>1</w:t>
      </w:r>
      <w:r>
        <w:rPr>
          <w:rStyle w:val="18"/>
          <w:rFonts w:hint="eastAsia" w:ascii="仿宋_GB2312" w:hAnsi="楷体" w:eastAsia="仿宋_GB2312"/>
          <w:b w:val="0"/>
          <w:spacing w:val="-4"/>
          <w:sz w:val="28"/>
          <w:szCs w:val="28"/>
        </w:rPr>
        <w:t>个项目，由相关科室指派专人进行全过程跟踪管理，科室负责人统筹推进项目实施，位领导不定期对项目进度进行调度，并对项目质量进行控制。</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3</w:t>
      </w:r>
      <w:r>
        <w:rPr>
          <w:rStyle w:val="18"/>
          <w:rFonts w:ascii="仿宋_GB2312" w:hAnsi="楷体" w:eastAsia="仿宋_GB2312"/>
          <w:b w:val="0"/>
          <w:spacing w:val="-4"/>
          <w:sz w:val="28"/>
          <w:szCs w:val="28"/>
        </w:rPr>
        <w:t>、监管情况</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项目主要负责人从项目实施方案、项目预算、项目建设进度、项目成本、项目验收等环节，全过程对项目进行监管，并向本单位主要领导报告，以推进项目建设和提高项目质量，以发挥资金使用效益。</w:t>
      </w:r>
    </w:p>
    <w:p>
      <w:pPr>
        <w:pStyle w:val="5"/>
        <w:numPr>
          <w:ilvl w:val="0"/>
          <w:numId w:val="1"/>
        </w:numPr>
        <w:spacing w:line="360" w:lineRule="auto"/>
        <w:rPr>
          <w:rStyle w:val="18"/>
          <w:rFonts w:ascii="仿宋" w:hAnsi="仿宋" w:eastAsia="仿宋"/>
          <w:b/>
          <w:bCs/>
        </w:rPr>
      </w:pPr>
      <w:r>
        <w:rPr>
          <w:rStyle w:val="18"/>
          <w:rFonts w:hint="eastAsia" w:ascii="仿宋" w:hAnsi="仿宋" w:eastAsia="仿宋"/>
          <w:b/>
          <w:bCs/>
        </w:rPr>
        <w:t>绩效情况分析</w:t>
      </w:r>
    </w:p>
    <w:p>
      <w:pPr>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1</w:t>
      </w:r>
      <w:r>
        <w:rPr>
          <w:rStyle w:val="18"/>
          <w:rFonts w:ascii="仿宋_GB2312" w:hAnsi="楷体" w:eastAsia="仿宋_GB2312"/>
          <w:b w:val="0"/>
          <w:bCs w:val="0"/>
          <w:spacing w:val="-4"/>
          <w:sz w:val="28"/>
          <w:szCs w:val="28"/>
        </w:rPr>
        <w:t>、成本控制情况</w:t>
      </w:r>
    </w:p>
    <w:p>
      <w:pPr>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伊犁哈萨克自治州生态环境局特克斯分局，所涉及专项项目均已于专项资金下达后按照资金文件及绩效管理要求设置《项目绩效目标表》。1个专项项目预算总额为57.7万元，在项目实施过程中，业务人员加强项目管理，合理控制项目成本，截止项目结束，1个项目总成本为57.7万元，不存在超支情况。</w:t>
      </w:r>
    </w:p>
    <w:p>
      <w:pPr>
        <w:spacing w:line="360" w:lineRule="auto"/>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2</w:t>
      </w:r>
      <w:r>
        <w:rPr>
          <w:rStyle w:val="18"/>
          <w:rFonts w:ascii="仿宋_GB2312" w:hAnsi="楷体" w:eastAsia="仿宋_GB2312"/>
          <w:b w:val="0"/>
          <w:bCs w:val="0"/>
          <w:spacing w:val="-4"/>
          <w:sz w:val="28"/>
          <w:szCs w:val="28"/>
        </w:rPr>
        <w:t>、成本节约情况</w:t>
      </w:r>
    </w:p>
    <w:p>
      <w:pPr>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伊犁哈萨克自治州生态环境局特克斯分局，所涉及专项项目使用资金比专项项目总预算减少0万元，</w:t>
      </w:r>
      <w:bookmarkStart w:id="25" w:name="_Hlk96097132"/>
      <w:r>
        <w:rPr>
          <w:rStyle w:val="18"/>
          <w:rFonts w:hint="eastAsia" w:ascii="仿宋_GB2312" w:hAnsi="楷体" w:eastAsia="仿宋_GB2312"/>
          <w:b w:val="0"/>
          <w:spacing w:val="-4"/>
          <w:sz w:val="28"/>
          <w:szCs w:val="28"/>
        </w:rPr>
        <w:t>项目节约率</w:t>
      </w:r>
      <w:bookmarkEnd w:id="25"/>
      <w:r>
        <w:rPr>
          <w:rStyle w:val="18"/>
          <w:rFonts w:hint="eastAsia" w:ascii="仿宋_GB2312" w:hAnsi="楷体" w:eastAsia="仿宋_GB2312"/>
          <w:b w:val="0"/>
          <w:spacing w:val="-4"/>
          <w:sz w:val="28"/>
          <w:szCs w:val="28"/>
        </w:rPr>
        <w:t>为0</w:t>
      </w:r>
      <w:r>
        <w:rPr>
          <w:rStyle w:val="18"/>
          <w:rFonts w:hint="eastAsia" w:ascii="仿宋_GB2312" w:hAnsi="楷体" w:eastAsia="仿宋_GB2312"/>
          <w:b w:val="0"/>
          <w:spacing w:val="-4"/>
          <w:sz w:val="28"/>
          <w:szCs w:val="28"/>
          <w:lang w:val="en-US" w:eastAsia="zh-CN"/>
        </w:rPr>
        <w:t>%</w:t>
      </w:r>
      <w:r>
        <w:rPr>
          <w:rStyle w:val="18"/>
          <w:rFonts w:hint="eastAsia" w:ascii="仿宋_GB2312" w:hAnsi="楷体" w:eastAsia="仿宋_GB2312"/>
          <w:b w:val="0"/>
          <w:spacing w:val="-4"/>
          <w:sz w:val="28"/>
          <w:szCs w:val="28"/>
        </w:rPr>
        <w:t>。</w:t>
      </w:r>
    </w:p>
    <w:p>
      <w:pPr>
        <w:pStyle w:val="5"/>
        <w:numPr>
          <w:ilvl w:val="0"/>
          <w:numId w:val="1"/>
        </w:numPr>
        <w:spacing w:line="360" w:lineRule="auto"/>
        <w:rPr>
          <w:rStyle w:val="18"/>
          <w:rFonts w:ascii="仿宋" w:hAnsi="仿宋" w:eastAsia="仿宋"/>
          <w:b/>
          <w:bCs/>
        </w:rPr>
      </w:pPr>
      <w:r>
        <w:rPr>
          <w:rStyle w:val="18"/>
          <w:rFonts w:hint="eastAsia" w:ascii="仿宋" w:hAnsi="仿宋" w:eastAsia="仿宋"/>
          <w:b/>
          <w:bCs/>
        </w:rPr>
        <w:t>项目效率性分析</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1、实施进度</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2021年伊犁哈萨克自治州生态环境局特克斯分局共涉及专项项目1个，截止到2021年底，通过专项项目实施过程中的有效监督，我单位按预期完成了1个专项的各项专项任务，项目总体完成率为</w:t>
      </w:r>
      <w:r>
        <w:rPr>
          <w:rStyle w:val="18"/>
          <w:rFonts w:hint="eastAsia" w:ascii="仿宋_GB2312" w:hAnsi="楷体" w:eastAsia="仿宋_GB2312"/>
          <w:b w:val="0"/>
          <w:spacing w:val="-4"/>
          <w:sz w:val="28"/>
          <w:szCs w:val="28"/>
        </w:rPr>
        <w:tab/>
      </w:r>
      <w:r>
        <w:rPr>
          <w:rStyle w:val="18"/>
          <w:rFonts w:hint="eastAsia" w:ascii="仿宋_GB2312" w:hAnsi="楷体" w:eastAsia="仿宋_GB2312"/>
          <w:b w:val="0"/>
          <w:spacing w:val="-4"/>
          <w:sz w:val="28"/>
          <w:szCs w:val="28"/>
        </w:rPr>
        <w:t>100%。</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2、完成质量</w:t>
      </w:r>
    </w:p>
    <w:p>
      <w:pPr>
        <w:spacing w:line="360" w:lineRule="auto"/>
        <w:ind w:firstLine="544" w:firstLineChars="200"/>
        <w:rPr>
          <w:rStyle w:val="18"/>
          <w:rFonts w:asciiTheme="minorEastAsia" w:hAnsiTheme="minorEastAsia"/>
          <w:bCs w:val="0"/>
          <w:color w:val="FF0000"/>
          <w:spacing w:val="-4"/>
          <w:sz w:val="28"/>
          <w:szCs w:val="28"/>
        </w:rPr>
      </w:pPr>
      <w:bookmarkStart w:id="26" w:name="_Hlk96100380"/>
      <w:r>
        <w:rPr>
          <w:rStyle w:val="18"/>
          <w:rFonts w:hint="eastAsia" w:ascii="仿宋_GB2312" w:hAnsi="楷体" w:eastAsia="仿宋_GB2312"/>
          <w:b w:val="0"/>
          <w:spacing w:val="-4"/>
          <w:sz w:val="28"/>
          <w:szCs w:val="28"/>
        </w:rPr>
        <w:t>1个专项项目完成质量情况如下：</w:t>
      </w:r>
      <w:bookmarkEnd w:id="26"/>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①特克斯县2020年农村生活污水治理项目，完成特克斯县喀拉托海镇铁热克提村站房设备基础检查井工程、40处理量一体化污水处理设备采购、及污水处理站配套设施建设。</w:t>
      </w:r>
    </w:p>
    <w:p>
      <w:pPr>
        <w:pStyle w:val="5"/>
        <w:numPr>
          <w:ilvl w:val="0"/>
          <w:numId w:val="1"/>
        </w:numPr>
        <w:spacing w:line="360" w:lineRule="auto"/>
        <w:rPr>
          <w:rStyle w:val="18"/>
          <w:rFonts w:ascii="仿宋" w:hAnsi="仿宋" w:eastAsia="仿宋"/>
          <w:b/>
          <w:bCs/>
        </w:rPr>
      </w:pPr>
      <w:r>
        <w:rPr>
          <w:rStyle w:val="18"/>
          <w:rFonts w:hint="eastAsia" w:ascii="仿宋" w:hAnsi="仿宋" w:eastAsia="仿宋"/>
          <w:b/>
          <w:bCs/>
        </w:rPr>
        <w:t>项目效益性分析</w:t>
      </w:r>
    </w:p>
    <w:p>
      <w:pPr>
        <w:ind w:firstLine="544" w:firstLineChars="200"/>
        <w:rPr>
          <w:rStyle w:val="18"/>
          <w:rFonts w:ascii="仿宋_GB2312" w:hAnsi="楷体" w:eastAsia="仿宋_GB2312"/>
          <w:b w:val="0"/>
          <w:bCs w:val="0"/>
          <w:spacing w:val="-4"/>
          <w:sz w:val="28"/>
          <w:szCs w:val="28"/>
        </w:rPr>
      </w:pPr>
      <w:r>
        <w:rPr>
          <w:rStyle w:val="18"/>
          <w:rFonts w:hint="eastAsia" w:ascii="仿宋_GB2312" w:hAnsi="楷体" w:eastAsia="仿宋_GB2312"/>
          <w:b w:val="0"/>
          <w:bCs w:val="0"/>
          <w:spacing w:val="-4"/>
          <w:sz w:val="28"/>
          <w:szCs w:val="28"/>
        </w:rPr>
        <w:t>1个专项项目预期目标完成程度、实施对经济和社会的影响如下：</w:t>
      </w:r>
    </w:p>
    <w:p>
      <w:pPr>
        <w:spacing w:line="360" w:lineRule="auto"/>
        <w:ind w:firstLine="544" w:firstLineChars="200"/>
        <w:rPr>
          <w:rStyle w:val="18"/>
          <w:rFonts w:ascii="仿宋_GB2312" w:hAnsi="楷体" w:eastAsia="仿宋_GB2312"/>
          <w:b w:val="0"/>
          <w:spacing w:val="-4"/>
          <w:sz w:val="28"/>
          <w:szCs w:val="28"/>
        </w:rPr>
      </w:pPr>
      <w:r>
        <w:rPr>
          <w:rStyle w:val="18"/>
          <w:rFonts w:hint="eastAsia" w:ascii="仿宋_GB2312" w:hAnsi="楷体" w:eastAsia="仿宋_GB2312"/>
          <w:b w:val="0"/>
          <w:spacing w:val="-4"/>
          <w:sz w:val="28"/>
          <w:szCs w:val="28"/>
        </w:rPr>
        <w:t>1、特克斯县2020年农村生活污水治理项目提高了农村污水的管理，加强了农村地下水环境监管，有效防范环境风险。</w:t>
      </w:r>
    </w:p>
    <w:p>
      <w:pPr>
        <w:pStyle w:val="4"/>
        <w:spacing w:line="360" w:lineRule="auto"/>
        <w:rPr>
          <w:rFonts w:ascii="仿宋" w:hAnsi="仿宋" w:eastAsia="仿宋"/>
          <w:sz w:val="36"/>
          <w:szCs w:val="36"/>
        </w:rPr>
      </w:pPr>
      <w:bookmarkStart w:id="27" w:name="_Toc70450310"/>
      <w:bookmarkStart w:id="28" w:name="_Toc102042563"/>
      <w:r>
        <w:rPr>
          <w:rFonts w:hint="eastAsia" w:ascii="仿宋" w:hAnsi="仿宋" w:eastAsia="仿宋"/>
          <w:sz w:val="36"/>
          <w:szCs w:val="36"/>
        </w:rPr>
        <w:t>四、资产管理情况</w:t>
      </w:r>
      <w:bookmarkEnd w:id="27"/>
      <w:bookmarkEnd w:id="28"/>
    </w:p>
    <w:p>
      <w:pPr>
        <w:pStyle w:val="2"/>
        <w:spacing w:line="360" w:lineRule="auto"/>
        <w:rPr>
          <w:rStyle w:val="18"/>
          <w:rFonts w:ascii="仿宋" w:hAnsi="仿宋" w:eastAsia="仿宋"/>
          <w:b/>
          <w:bCs/>
        </w:rPr>
      </w:pPr>
      <w:bookmarkStart w:id="29" w:name="_Toc70450311"/>
      <w:r>
        <w:rPr>
          <w:rStyle w:val="18"/>
          <w:rFonts w:hint="eastAsia" w:ascii="仿宋" w:hAnsi="仿宋" w:eastAsia="仿宋"/>
          <w:b/>
          <w:bCs/>
        </w:rPr>
        <w:t>（一）资产配置情况</w:t>
      </w:r>
      <w:bookmarkEnd w:id="29"/>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2021年我</w:t>
      </w:r>
      <w:r>
        <w:rPr>
          <w:rStyle w:val="18"/>
          <w:rFonts w:hint="eastAsia" w:ascii="仿宋_GB2312" w:hAnsi="楷体" w:eastAsia="仿宋_GB2312"/>
          <w:b w:val="0"/>
          <w:spacing w:val="-4"/>
          <w:sz w:val="28"/>
          <w:szCs w:val="28"/>
        </w:rPr>
        <w:t>单位</w:t>
      </w:r>
      <w:r>
        <w:rPr>
          <w:rStyle w:val="18"/>
          <w:rFonts w:hint="eastAsia" w:ascii="仿宋_GB2312" w:hAnsi="宋体" w:eastAsia="仿宋_GB2312"/>
          <w:b w:val="0"/>
          <w:bCs w:val="0"/>
          <w:spacing w:val="-4"/>
          <w:sz w:val="28"/>
          <w:szCs w:val="28"/>
        </w:rPr>
        <w:t>资产总额98.33万元，其中流动资产10.82万元（其中其他应收款10.82万元），固定资产净值</w:t>
      </w:r>
      <w:r>
        <w:rPr>
          <w:rStyle w:val="18"/>
          <w:rFonts w:ascii="仿宋_GB2312" w:hAnsi="宋体" w:eastAsia="仿宋_GB2312"/>
          <w:b w:val="0"/>
          <w:bCs w:val="0"/>
          <w:spacing w:val="-4"/>
          <w:sz w:val="28"/>
          <w:szCs w:val="28"/>
        </w:rPr>
        <w:t xml:space="preserve"> </w:t>
      </w:r>
      <w:r>
        <w:rPr>
          <w:rStyle w:val="18"/>
          <w:rFonts w:hint="eastAsia" w:ascii="仿宋_GB2312" w:hAnsi="宋体" w:eastAsia="仿宋_GB2312"/>
          <w:b w:val="0"/>
          <w:bCs w:val="0"/>
          <w:spacing w:val="-4"/>
          <w:sz w:val="28"/>
          <w:szCs w:val="28"/>
        </w:rPr>
        <w:t>7.41万元（其中：土地、房屋及构筑物0万元，占固定资产净值的0；通用设备5.13</w:t>
      </w:r>
      <w:r>
        <w:rPr>
          <w:rStyle w:val="18"/>
          <w:rFonts w:ascii="仿宋_GB2312" w:hAnsi="宋体" w:eastAsia="仿宋_GB2312"/>
          <w:b w:val="0"/>
          <w:bCs w:val="0"/>
          <w:spacing w:val="-4"/>
          <w:sz w:val="28"/>
          <w:szCs w:val="28"/>
        </w:rPr>
        <w:t xml:space="preserve"> </w:t>
      </w:r>
      <w:r>
        <w:rPr>
          <w:rStyle w:val="18"/>
          <w:rFonts w:hint="eastAsia" w:ascii="仿宋_GB2312" w:hAnsi="宋体" w:eastAsia="仿宋_GB2312"/>
          <w:b w:val="0"/>
          <w:bCs w:val="0"/>
          <w:spacing w:val="-4"/>
          <w:sz w:val="28"/>
          <w:szCs w:val="28"/>
        </w:rPr>
        <w:t>万元，占固定资产净值的69.23%；专用设备1.36万元，占固定资产净值的18.35%；家具、用具装具及动植物0.92万元，占固定资产净值的12.42%）。</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本年度流动资产10.82万元，比上年减少2.72万元，原因是：清理应收款2.72万元 。</w:t>
      </w:r>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本年度固定资产87.51万元，比上年增加0万元，原因是：本年度固定资产未增加 。</w:t>
      </w:r>
    </w:p>
    <w:p>
      <w:pPr>
        <w:snapToGrid w:val="0"/>
        <w:spacing w:line="360" w:lineRule="auto"/>
        <w:ind w:firstLine="544" w:firstLineChars="200"/>
        <w:rPr>
          <w:rStyle w:val="18"/>
          <w:rFonts w:ascii="宋体" w:hAnsi="宋体" w:eastAsia="宋体"/>
          <w:bCs w:val="0"/>
          <w:color w:val="FF0000"/>
          <w:spacing w:val="-4"/>
          <w:sz w:val="28"/>
          <w:szCs w:val="28"/>
        </w:rPr>
      </w:pPr>
      <w:r>
        <w:rPr>
          <w:rStyle w:val="18"/>
          <w:rFonts w:hint="eastAsia" w:ascii="仿宋_GB2312" w:hAnsi="宋体" w:eastAsia="仿宋_GB2312"/>
          <w:b w:val="0"/>
          <w:bCs w:val="0"/>
          <w:spacing w:val="-4"/>
          <w:sz w:val="28"/>
          <w:szCs w:val="28"/>
        </w:rPr>
        <w:t>实际在用固定资产87.51万元，固定资产利用率100%。</w:t>
      </w:r>
    </w:p>
    <w:p>
      <w:pPr>
        <w:pStyle w:val="2"/>
        <w:spacing w:line="360" w:lineRule="auto"/>
        <w:rPr>
          <w:rStyle w:val="18"/>
          <w:rFonts w:ascii="仿宋" w:hAnsi="仿宋" w:eastAsia="仿宋"/>
          <w:b/>
          <w:bCs/>
        </w:rPr>
      </w:pPr>
      <w:bookmarkStart w:id="30" w:name="_Toc70450312"/>
      <w:r>
        <w:rPr>
          <w:rStyle w:val="18"/>
          <w:rFonts w:hint="eastAsia" w:ascii="仿宋" w:hAnsi="仿宋" w:eastAsia="仿宋"/>
          <w:b/>
          <w:bCs/>
        </w:rPr>
        <w:t>（二）资产管理情况</w:t>
      </w:r>
      <w:bookmarkEnd w:id="30"/>
    </w:p>
    <w:p>
      <w:pPr>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8"/>
          <w:rFonts w:ascii="仿宋_GB2312" w:hAnsi="宋体" w:eastAsia="仿宋_GB2312"/>
          <w:b w:val="0"/>
          <w:spacing w:val="-4"/>
          <w:sz w:val="28"/>
          <w:szCs w:val="28"/>
        </w:rPr>
      </w:pPr>
      <w:r>
        <w:rPr>
          <w:rStyle w:val="18"/>
          <w:rFonts w:hint="eastAsia" w:ascii="仿宋_GB2312" w:hAnsi="宋体" w:eastAsia="仿宋_GB2312"/>
          <w:b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snapToGrid w:val="0"/>
        <w:spacing w:line="360" w:lineRule="auto"/>
        <w:ind w:firstLine="544" w:firstLineChars="200"/>
        <w:rPr>
          <w:rStyle w:val="18"/>
          <w:rFonts w:ascii="仿宋_GB2312" w:hAnsi="宋体" w:eastAsia="仿宋_GB2312"/>
          <w:b w:val="0"/>
          <w:spacing w:val="-4"/>
          <w:sz w:val="28"/>
          <w:szCs w:val="28"/>
        </w:rPr>
      </w:pPr>
    </w:p>
    <w:p>
      <w:pPr>
        <w:pStyle w:val="4"/>
        <w:spacing w:line="360" w:lineRule="auto"/>
        <w:rPr>
          <w:rFonts w:ascii="仿宋" w:hAnsi="仿宋" w:eastAsia="仿宋"/>
          <w:sz w:val="36"/>
          <w:szCs w:val="36"/>
        </w:rPr>
      </w:pPr>
      <w:bookmarkStart w:id="31" w:name="_Toc102042564"/>
      <w:bookmarkStart w:id="32" w:name="_Toc70450313"/>
      <w:r>
        <w:rPr>
          <w:rFonts w:hint="eastAsia" w:ascii="仿宋" w:hAnsi="仿宋" w:eastAsia="仿宋"/>
          <w:sz w:val="36"/>
          <w:szCs w:val="36"/>
        </w:rPr>
        <w:t>五、部门单位整体支出绩效情况</w:t>
      </w:r>
      <w:bookmarkEnd w:id="31"/>
      <w:bookmarkEnd w:id="32"/>
    </w:p>
    <w:p>
      <w:pPr>
        <w:pStyle w:val="2"/>
        <w:spacing w:line="360" w:lineRule="auto"/>
        <w:ind w:firstLine="643" w:firstLineChars="200"/>
        <w:rPr>
          <w:rStyle w:val="18"/>
          <w:rFonts w:ascii="仿宋" w:hAnsi="仿宋" w:eastAsia="仿宋"/>
          <w:b/>
          <w:bCs/>
        </w:rPr>
      </w:pPr>
      <w:bookmarkStart w:id="33" w:name="_Toc70450314"/>
      <w:r>
        <w:rPr>
          <w:rStyle w:val="18"/>
          <w:rFonts w:hint="eastAsia" w:ascii="仿宋" w:hAnsi="仿宋" w:eastAsia="仿宋"/>
          <w:b/>
          <w:bCs/>
        </w:rPr>
        <w:t>（一）经济效益评价</w:t>
      </w:r>
      <w:bookmarkEnd w:id="33"/>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2021年度我单位年初预算安排</w:t>
      </w:r>
      <w:r>
        <w:rPr>
          <w:rStyle w:val="18"/>
          <w:rFonts w:hint="eastAsia" w:ascii="仿宋_GB2312" w:hAnsi="楷体" w:eastAsia="仿宋_GB2312"/>
          <w:b w:val="0"/>
          <w:spacing w:val="-4"/>
          <w:sz w:val="28"/>
          <w:szCs w:val="28"/>
        </w:rPr>
        <w:t>205.08</w:t>
      </w:r>
      <w:r>
        <w:rPr>
          <w:rStyle w:val="18"/>
          <w:rFonts w:hint="eastAsia" w:ascii="仿宋_GB2312" w:hAnsi="宋体" w:eastAsia="仿宋_GB2312"/>
          <w:b w:val="0"/>
          <w:bCs w:val="0"/>
          <w:spacing w:val="-4"/>
          <w:sz w:val="28"/>
          <w:szCs w:val="28"/>
        </w:rPr>
        <w:t>万元，年中调整</w:t>
      </w:r>
      <w:r>
        <w:rPr>
          <w:rStyle w:val="18"/>
          <w:rFonts w:hint="eastAsia" w:ascii="仿宋_GB2312" w:hAnsi="楷体" w:eastAsia="仿宋_GB2312"/>
          <w:b w:val="0"/>
          <w:spacing w:val="-4"/>
          <w:sz w:val="28"/>
          <w:szCs w:val="28"/>
        </w:rPr>
        <w:t>214.97万元</w:t>
      </w:r>
      <w:r>
        <w:rPr>
          <w:rStyle w:val="18"/>
          <w:rFonts w:hint="eastAsia" w:ascii="仿宋_GB2312" w:hAnsi="宋体" w:eastAsia="仿宋_GB2312"/>
          <w:b w:val="0"/>
          <w:bCs w:val="0"/>
          <w:spacing w:val="-4"/>
          <w:sz w:val="28"/>
          <w:szCs w:val="28"/>
        </w:rPr>
        <w:t>，截止12月底支出</w:t>
      </w:r>
      <w:r>
        <w:rPr>
          <w:rStyle w:val="18"/>
          <w:rFonts w:hint="eastAsia" w:ascii="仿宋_GB2312" w:hAnsi="楷体" w:eastAsia="仿宋_GB2312"/>
          <w:b w:val="0"/>
          <w:spacing w:val="-4"/>
          <w:sz w:val="28"/>
          <w:szCs w:val="28"/>
        </w:rPr>
        <w:t>420.05万元</w:t>
      </w:r>
      <w:r>
        <w:rPr>
          <w:rStyle w:val="18"/>
          <w:rFonts w:hint="eastAsia" w:ascii="仿宋_GB2312" w:hAnsi="宋体" w:eastAsia="仿宋_GB2312"/>
          <w:b w:val="0"/>
          <w:bCs w:val="0"/>
          <w:spacing w:val="-4"/>
          <w:sz w:val="28"/>
          <w:szCs w:val="28"/>
        </w:rPr>
        <w:t>，执行率100%。</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1</w:t>
      </w:r>
      <w:r>
        <w:rPr>
          <w:rStyle w:val="18"/>
          <w:rFonts w:hint="eastAsia" w:ascii="仿宋_GB2312" w:hAnsi="宋体" w:eastAsia="仿宋_GB2312"/>
          <w:b w:val="0"/>
          <w:bCs w:val="0"/>
          <w:spacing w:val="-4"/>
          <w:sz w:val="28"/>
          <w:szCs w:val="28"/>
        </w:rPr>
        <w:t>、预算资金执行过程中均按照年初预算分配情况均做到专款专用，未出现资金侵、挪占情况。</w:t>
      </w:r>
    </w:p>
    <w:p>
      <w:pPr>
        <w:spacing w:line="360" w:lineRule="auto"/>
        <w:ind w:firstLine="544" w:firstLineChars="200"/>
        <w:rPr>
          <w:rStyle w:val="18"/>
          <w:rFonts w:ascii="仿宋_GB2312" w:hAnsi="宋体" w:eastAsia="仿宋_GB2312"/>
          <w:b w:val="0"/>
          <w:bCs w:val="0"/>
          <w:spacing w:val="-4"/>
          <w:sz w:val="28"/>
          <w:szCs w:val="28"/>
        </w:rPr>
      </w:pPr>
      <w:r>
        <w:rPr>
          <w:rStyle w:val="18"/>
          <w:rFonts w:ascii="仿宋_GB2312" w:hAnsi="宋体" w:eastAsia="仿宋_GB2312"/>
          <w:b w:val="0"/>
          <w:bCs w:val="0"/>
          <w:spacing w:val="-4"/>
          <w:sz w:val="28"/>
          <w:szCs w:val="28"/>
        </w:rPr>
        <w:t>2</w:t>
      </w:r>
      <w:r>
        <w:rPr>
          <w:rStyle w:val="18"/>
          <w:rFonts w:hint="eastAsia" w:ascii="仿宋_GB2312" w:hAnsi="宋体" w:eastAsia="仿宋_GB2312"/>
          <w:b w:val="0"/>
          <w:bCs w:val="0"/>
          <w:spacing w:val="-4"/>
          <w:sz w:val="28"/>
          <w:szCs w:val="28"/>
        </w:rPr>
        <w:t>、全年按照部门预算进行成本控制，全部控制在厉行节约指标数内。其他支出按财政部门下达的计划实施，全年没有项目超支（若有超支请详细说明情况）。</w:t>
      </w:r>
    </w:p>
    <w:p>
      <w:pPr>
        <w:pStyle w:val="2"/>
        <w:spacing w:line="360" w:lineRule="auto"/>
        <w:ind w:firstLine="643" w:firstLineChars="200"/>
        <w:rPr>
          <w:rStyle w:val="18"/>
          <w:rFonts w:ascii="仿宋" w:hAnsi="仿宋" w:eastAsia="仿宋"/>
          <w:b/>
          <w:bCs/>
        </w:rPr>
      </w:pPr>
      <w:bookmarkStart w:id="34" w:name="_Toc70450315"/>
      <w:r>
        <w:rPr>
          <w:rStyle w:val="18"/>
          <w:rFonts w:hint="eastAsia" w:ascii="仿宋" w:hAnsi="仿宋" w:eastAsia="仿宋"/>
          <w:b/>
          <w:bCs/>
        </w:rPr>
        <w:t>（二）效率性评价</w:t>
      </w:r>
      <w:bookmarkEnd w:id="34"/>
    </w:p>
    <w:p>
      <w:pPr>
        <w:spacing w:line="360" w:lineRule="auto"/>
        <w:ind w:firstLine="544" w:firstLineChars="200"/>
        <w:rPr>
          <w:rStyle w:val="18"/>
          <w:rFonts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2021年，在县委县政府的大力支持和局党组的正确领导下，我</w:t>
      </w:r>
      <w:r>
        <w:rPr>
          <w:rStyle w:val="18"/>
          <w:rFonts w:hint="eastAsia" w:ascii="仿宋_GB2312" w:hAnsi="楷体" w:eastAsia="仿宋_GB2312"/>
          <w:b w:val="0"/>
          <w:spacing w:val="-4"/>
          <w:sz w:val="28"/>
          <w:szCs w:val="28"/>
        </w:rPr>
        <w:t>单位</w:t>
      </w:r>
      <w:r>
        <w:rPr>
          <w:rStyle w:val="18"/>
          <w:rFonts w:hint="eastAsia" w:ascii="仿宋_GB2312" w:hAnsi="宋体" w:eastAsia="仿宋_GB2312"/>
          <w:b w:val="0"/>
          <w:bCs w:val="0"/>
          <w:spacing w:val="-4"/>
          <w:sz w:val="28"/>
          <w:szCs w:val="28"/>
        </w:rPr>
        <w:t>迎难而上、务实重干，积极推动各项工作取得了新的进展，为促进经济持续健康发展与社会和谐稳定提供了有力的支撑和保障。</w:t>
      </w:r>
    </w:p>
    <w:p>
      <w:pPr>
        <w:spacing w:line="360" w:lineRule="auto"/>
        <w:ind w:firstLine="544" w:firstLineChars="200"/>
        <w:rPr>
          <w:rStyle w:val="18"/>
          <w:rFonts w:hint="eastAsia" w:ascii="仿宋_GB2312" w:hAnsi="宋体" w:eastAsia="仿宋_GB2312" w:cs="Times New Roman"/>
          <w:b w:val="0"/>
          <w:bCs w:val="0"/>
          <w:spacing w:val="-4"/>
          <w:sz w:val="28"/>
          <w:szCs w:val="28"/>
          <w:lang w:val="en-US" w:eastAsia="zh-CN"/>
        </w:rPr>
      </w:pPr>
      <w:r>
        <w:rPr>
          <w:rStyle w:val="18"/>
          <w:rFonts w:hint="eastAsia" w:ascii="仿宋_GB2312" w:hAnsi="宋体" w:eastAsia="仿宋_GB2312" w:cs="Times New Roman"/>
          <w:b w:val="0"/>
          <w:bCs w:val="0"/>
          <w:spacing w:val="-4"/>
          <w:sz w:val="28"/>
          <w:szCs w:val="28"/>
          <w:lang w:val="en-US" w:eastAsia="zh-CN"/>
        </w:rPr>
        <w:t>（一）精准治污，推动生态环境不断好转。</w:t>
      </w:r>
    </w:p>
    <w:p>
      <w:pPr>
        <w:spacing w:line="360" w:lineRule="auto"/>
        <w:ind w:firstLine="544" w:firstLineChars="200"/>
        <w:rPr>
          <w:rStyle w:val="18"/>
          <w:rFonts w:hint="eastAsia" w:ascii="仿宋_GB2312" w:hAnsi="宋体" w:eastAsia="仿宋_GB2312" w:cs="Times New Roman"/>
          <w:b w:val="0"/>
          <w:bCs w:val="0"/>
          <w:spacing w:val="-4"/>
          <w:sz w:val="28"/>
          <w:szCs w:val="28"/>
          <w:lang w:val="en-US" w:eastAsia="zh-CN"/>
        </w:rPr>
      </w:pPr>
      <w:r>
        <w:rPr>
          <w:rStyle w:val="18"/>
          <w:rFonts w:hint="eastAsia" w:ascii="仿宋_GB2312" w:hAnsi="宋体" w:eastAsia="仿宋_GB2312" w:cs="Times New Roman"/>
          <w:b w:val="0"/>
          <w:bCs w:val="0"/>
          <w:spacing w:val="-4"/>
          <w:sz w:val="28"/>
          <w:szCs w:val="28"/>
          <w:lang w:val="en-US" w:eastAsia="zh-CN"/>
        </w:rPr>
        <w:t>近年来，特克斯河水质始终保持Ⅱ类标准且未下降，地表水水质为Ⅱ类比例为100％，无劣V类水体。2021年特克斯县空气优良天数率达到99.3%，生态环境质量总体保持稳定。</w:t>
      </w:r>
    </w:p>
    <w:p>
      <w:pPr>
        <w:spacing w:line="360" w:lineRule="auto"/>
        <w:ind w:firstLine="544" w:firstLineChars="200"/>
        <w:rPr>
          <w:rStyle w:val="18"/>
          <w:rFonts w:hint="eastAsia" w:ascii="仿宋_GB2312" w:hAnsi="宋体" w:eastAsia="仿宋_GB2312" w:cs="Times New Roman"/>
          <w:b w:val="0"/>
          <w:bCs w:val="0"/>
          <w:spacing w:val="-4"/>
          <w:sz w:val="28"/>
          <w:szCs w:val="28"/>
        </w:rPr>
      </w:pPr>
      <w:r>
        <w:rPr>
          <w:rStyle w:val="18"/>
          <w:rFonts w:hint="eastAsia" w:ascii="仿宋_GB2312" w:hAnsi="宋体" w:eastAsia="仿宋_GB2312" w:cs="Times New Roman"/>
          <w:b w:val="0"/>
          <w:bCs w:val="0"/>
          <w:spacing w:val="-4"/>
          <w:sz w:val="28"/>
          <w:szCs w:val="28"/>
          <w:lang w:val="en-US" w:eastAsia="zh-CN"/>
        </w:rPr>
        <w:t>1.构建生态空间管控体系。全面落实特克斯县各项规划，控制开发强度，调整空间结构，促进国土空间集约高效利用。加快构建生态功能保障基线、环境质量安全底线、自然资源利用上线三大红线，保护好天际线、山脊线、水岸线，传承好历史文脉。统筹山、水、林、田、湖、草系统治理。严格项目环评审批和节能评估“三同时”制度，严禁“三高项目”进特克斯。认真落实环评登记表备案制，2021年共办理环评手续48个，未出现一例越权审批和违规审批项目，全面推进复工复产，积极做到提前介入、主动为企业服务。</w:t>
      </w:r>
    </w:p>
    <w:p>
      <w:pPr>
        <w:spacing w:line="360" w:lineRule="auto"/>
        <w:ind w:firstLine="544" w:firstLineChars="200"/>
        <w:rPr>
          <w:rStyle w:val="18"/>
          <w:rFonts w:hint="eastAsia" w:ascii="仿宋_GB2312" w:hAnsi="宋体" w:eastAsia="仿宋_GB2312" w:cs="Times New Roman"/>
          <w:b w:val="0"/>
          <w:bCs w:val="0"/>
          <w:spacing w:val="-4"/>
          <w:sz w:val="28"/>
          <w:szCs w:val="28"/>
          <w:lang w:val="en-US" w:eastAsia="zh-CN"/>
        </w:rPr>
      </w:pPr>
      <w:r>
        <w:rPr>
          <w:rStyle w:val="18"/>
          <w:rFonts w:hint="eastAsia" w:ascii="仿宋_GB2312" w:hAnsi="宋体" w:eastAsia="仿宋_GB2312" w:cs="Times New Roman"/>
          <w:b w:val="0"/>
          <w:bCs w:val="0"/>
          <w:spacing w:val="-4"/>
          <w:sz w:val="28"/>
          <w:szCs w:val="28"/>
          <w:lang w:val="en-US" w:eastAsia="zh-CN"/>
        </w:rPr>
        <w:t>2.加大环境监察工作力度。严格执行环保法律法规，充分发挥环境监管网格化作用，加强企业监管，规范执法行为，敢于动真碰硬，严厉查处环境违法行为，开展行政处罚后督查工作，做好建设项目事中事后监督；加大危险废物管理力度，对医疗垃圾收集、贮存、转运期间的污染防治实施监督检查，切实维护公共权益，保证生态安全；继续做好中央环保督察转办信访案件整改以及环保突出问题整改督察工作，“举一反三”防患于未然；着力解决群众关心的热点环境问题，充分发挥“12369”环保举报平台的作用，打击违法排污企业，保障群众健康；开展突发环境事件应急演练，健全突发环境事件应急机制，锻炼应急队伍，提高应对突发环境事件的能力。2021年共监察企事业单位74次，出动150余人次，下发现场整改通知53份。处理信访案件（包括12369网络平台）6起，答复6起，办结率100%。</w:t>
      </w:r>
    </w:p>
    <w:p>
      <w:pPr>
        <w:spacing w:line="360" w:lineRule="auto"/>
        <w:ind w:firstLine="544" w:firstLineChars="200"/>
        <w:rPr>
          <w:rStyle w:val="18"/>
          <w:rFonts w:hint="eastAsia" w:ascii="仿宋_GB2312" w:hAnsi="宋体" w:eastAsia="仿宋_GB2312" w:cs="Times New Roman"/>
          <w:b w:val="0"/>
          <w:bCs w:val="0"/>
          <w:spacing w:val="-4"/>
          <w:sz w:val="28"/>
          <w:szCs w:val="28"/>
          <w:lang w:val="en-US"/>
        </w:rPr>
      </w:pPr>
      <w:r>
        <w:rPr>
          <w:rStyle w:val="18"/>
          <w:rFonts w:hint="eastAsia" w:ascii="仿宋_GB2312" w:hAnsi="宋体" w:eastAsia="仿宋_GB2312" w:cs="Times New Roman"/>
          <w:b w:val="0"/>
          <w:bCs w:val="0"/>
          <w:spacing w:val="-4"/>
          <w:sz w:val="28"/>
          <w:szCs w:val="28"/>
          <w:lang w:val="en-US" w:eastAsia="zh-CN"/>
        </w:rPr>
        <w:t>3.严格执行排污许可制度。主动与企事业单位沟通，指导151家企事业单位做好排污许可证登记与核发工作，其中：重点管理3家，简化管理14家，努力做到“应发尽发”，让各企事业单位做到持证排污、按证排污。</w:t>
      </w:r>
    </w:p>
    <w:p>
      <w:pPr>
        <w:spacing w:line="360" w:lineRule="auto"/>
        <w:ind w:firstLine="544" w:firstLineChars="200"/>
        <w:rPr>
          <w:rStyle w:val="18"/>
          <w:rFonts w:hint="eastAsia" w:ascii="仿宋_GB2312" w:hAnsi="宋体" w:eastAsia="仿宋_GB2312" w:cs="Times New Roman"/>
          <w:b w:val="0"/>
          <w:bCs w:val="0"/>
          <w:spacing w:val="-4"/>
          <w:sz w:val="28"/>
          <w:szCs w:val="28"/>
          <w:lang w:val="en-US" w:eastAsia="zh-CN"/>
        </w:rPr>
      </w:pPr>
      <w:r>
        <w:rPr>
          <w:rStyle w:val="18"/>
          <w:rFonts w:hint="eastAsia" w:ascii="仿宋_GB2312" w:hAnsi="宋体" w:eastAsia="仿宋_GB2312" w:cs="Times New Roman"/>
          <w:b w:val="0"/>
          <w:bCs w:val="0"/>
          <w:spacing w:val="-4"/>
          <w:sz w:val="28"/>
          <w:szCs w:val="28"/>
          <w:lang w:val="en-US" w:eastAsia="zh-CN"/>
        </w:rPr>
        <w:t>（二）突出重点，坚定坚决打好污染防治攻坚战</w:t>
      </w:r>
    </w:p>
    <w:p>
      <w:pPr>
        <w:spacing w:line="360" w:lineRule="auto"/>
        <w:ind w:firstLine="544" w:firstLineChars="200"/>
        <w:rPr>
          <w:rStyle w:val="18"/>
          <w:rFonts w:hint="eastAsia" w:ascii="仿宋_GB2312" w:hAnsi="宋体" w:eastAsia="仿宋_GB2312" w:cs="Times New Roman"/>
          <w:b w:val="0"/>
          <w:bCs w:val="0"/>
          <w:spacing w:val="-4"/>
          <w:sz w:val="28"/>
          <w:szCs w:val="28"/>
          <w:lang w:val="en-US" w:eastAsia="zh-CN"/>
        </w:rPr>
      </w:pPr>
      <w:r>
        <w:rPr>
          <w:rStyle w:val="18"/>
          <w:rFonts w:hint="eastAsia" w:ascii="仿宋_GB2312" w:hAnsi="宋体" w:eastAsia="仿宋_GB2312" w:cs="Times New Roman"/>
          <w:b w:val="0"/>
          <w:bCs w:val="0"/>
          <w:spacing w:val="-4"/>
          <w:sz w:val="28"/>
          <w:szCs w:val="28"/>
          <w:lang w:val="en-US" w:eastAsia="zh-CN"/>
        </w:rPr>
        <w:t>一是打好蓝天保卫战。特克斯县严格落实大气污染防治计划，2021年优良天数比例达99.3%。积极推广新能源、清洁能源，在农村继续推广集中供暖补充电采暖等，“电化特克斯”工程稳妥实施，电采暖面积突破20万平方米，通过继续扩大集中供暖、补充“电采暖、煤改气”等办法极大地解决居民零散燃煤炉冒烟的问题；加强秸秆禁烧管理，加大对施工扬尘的治理，污染负荷持续降低。2021年成功将集中供热超低排放项目纳入2021年自治区大气污染防治专项资金支持项目；深入开展落后产能淘汰工作，特克斯县“三高办”制定了《特克斯县淘汰落后产能工作方案》，对9家轮窑进行关停拆除（其中3家进行升级改造），目前9家砖窑（含3家升级改造砖瓦窑）制砖机均已拆除，窑体已废毁；持续加强建筑工地扬尘整治工作，生态环境、住建局等部门联动执法，督促建筑工地落实“六个百分之百”工作要求，切实减少建筑工地扬尘排放。二是打好碧水保卫战。大力改善水环境质量。特克斯县把水污染防治攻坚与落实河湖长制、农村环境综合整治等工作有机结合起来，强化特克斯河流综合治理，重点加快推进生态水系、湿地公园、污水处理管网建设、农村生活污水处理设施和配套管网建设，全面提升我县水环境质量。完成4个“千吨万人”饮用水水源地技术划分报告编制，并于2020年12月取得自治区人民政府批复。2021年特克斯河和集中式饮用水水源地水质均保持Ⅱ类标准且未下降，达标率比例为100％。三是打好净土保卫战。特克斯县按照自治区人民政府下发《新疆维吾尔自治区土壤污染治理与修复规划（2018-2022）年》、《伊犁州直土壤污染防治工作方案》要求，严格审批各类建设项目用地，建设用地结合《产业准入负面清单（试行）》对各类禁止类产业坚决不予审批，对各类限制类项目严格按照管控要求在前期项目选址时提出用地和规划的选址意见。</w:t>
      </w:r>
    </w:p>
    <w:p>
      <w:pPr>
        <w:pStyle w:val="2"/>
        <w:spacing w:line="360" w:lineRule="auto"/>
        <w:ind w:firstLine="643" w:firstLineChars="200"/>
        <w:rPr>
          <w:rStyle w:val="18"/>
          <w:rFonts w:ascii="仿宋" w:hAnsi="仿宋" w:eastAsia="仿宋"/>
          <w:b/>
          <w:bCs/>
        </w:rPr>
      </w:pPr>
      <w:bookmarkStart w:id="35" w:name="_Toc70450316"/>
      <w:r>
        <w:rPr>
          <w:rStyle w:val="18"/>
          <w:rFonts w:hint="eastAsia" w:ascii="仿宋" w:hAnsi="仿宋" w:eastAsia="仿宋"/>
          <w:b/>
          <w:bCs/>
        </w:rPr>
        <w:t>（三）有效性评价</w:t>
      </w:r>
      <w:bookmarkEnd w:id="35"/>
    </w:p>
    <w:p>
      <w:pPr>
        <w:spacing w:line="360" w:lineRule="auto"/>
        <w:ind w:firstLine="544" w:firstLineChars="200"/>
        <w:rPr>
          <w:rStyle w:val="18"/>
          <w:rFonts w:hint="eastAsia" w:ascii="仿宋_GB2312" w:hAnsi="宋体" w:eastAsia="仿宋_GB2312"/>
          <w:b w:val="0"/>
          <w:bCs w:val="0"/>
          <w:spacing w:val="-4"/>
          <w:sz w:val="28"/>
          <w:szCs w:val="28"/>
        </w:rPr>
      </w:pPr>
      <w:r>
        <w:rPr>
          <w:rStyle w:val="18"/>
          <w:rFonts w:hint="eastAsia" w:ascii="仿宋_GB2312" w:hAnsi="宋体" w:eastAsia="仿宋_GB2312"/>
          <w:b w:val="0"/>
          <w:bCs w:val="0"/>
          <w:spacing w:val="-4"/>
          <w:sz w:val="28"/>
          <w:szCs w:val="28"/>
        </w:rPr>
        <w:t>2021年部门支出的有效性主要体现在我单位各项工作成效上，一是单位财政供养人员基本工资、津贴补贴、艰边补助预算的收支得到保障，二是环境污染防治、生态环境监测、生态环境监察及监督执法等各项工作进一步推进，详细情况如下：</w:t>
      </w:r>
    </w:p>
    <w:p>
      <w:pPr>
        <w:snapToGrid w:val="0"/>
        <w:spacing w:line="360" w:lineRule="auto"/>
        <w:ind w:firstLine="544" w:firstLineChars="200"/>
        <w:rPr>
          <w:rStyle w:val="18"/>
          <w:rFonts w:ascii="仿宋_GB2312" w:eastAsia="仿宋_GB2312" w:hAnsiTheme="minorEastAsia"/>
          <w:b w:val="0"/>
          <w:spacing w:val="-4"/>
          <w:sz w:val="28"/>
          <w:szCs w:val="28"/>
        </w:rPr>
      </w:pPr>
      <w:r>
        <w:rPr>
          <w:rStyle w:val="18"/>
          <w:rFonts w:hint="eastAsia" w:ascii="仿宋_GB2312" w:hAnsi="楷体" w:eastAsia="仿宋_GB2312"/>
          <w:b w:val="0"/>
          <w:spacing w:val="-4"/>
          <w:sz w:val="28"/>
          <w:szCs w:val="28"/>
        </w:rPr>
        <w:t>伊犁哈萨克自治州生态环境局特克斯分局</w:t>
      </w:r>
      <w:r>
        <w:rPr>
          <w:rStyle w:val="18"/>
          <w:rFonts w:hint="eastAsia" w:ascii="仿宋_GB2312" w:eastAsia="仿宋_GB2312" w:hAnsiTheme="minorEastAsia"/>
          <w:b w:val="0"/>
          <w:spacing w:val="-4"/>
          <w:sz w:val="28"/>
          <w:szCs w:val="28"/>
        </w:rPr>
        <w:t>单位整体绩效目标共设置一级指标3个，二级指标8个，三级指标13个，详细说明如下</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1</w:t>
      </w:r>
      <w:r>
        <w:rPr>
          <w:rStyle w:val="18"/>
          <w:rFonts w:hint="eastAsia" w:ascii="仿宋_GB2312" w:hAnsi="宋体" w:eastAsia="仿宋_GB2312"/>
          <w:b w:val="0"/>
          <w:spacing w:val="-4"/>
          <w:sz w:val="28"/>
          <w:szCs w:val="28"/>
          <w:highlight w:val="none"/>
        </w:rPr>
        <w:t>、数量指标：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指标1：保障在职人数 ，指标值：=20人，实际完成值：2</w:t>
      </w:r>
      <w:r>
        <w:rPr>
          <w:rStyle w:val="18"/>
          <w:rFonts w:hint="eastAsia" w:ascii="仿宋_GB2312" w:hAnsi="宋体" w:eastAsia="仿宋_GB2312"/>
          <w:b w:val="0"/>
          <w:spacing w:val="-4"/>
          <w:sz w:val="28"/>
          <w:szCs w:val="28"/>
          <w:highlight w:val="none"/>
          <w:lang w:val="en-US" w:eastAsia="zh-CN"/>
        </w:rPr>
        <w:t>0</w:t>
      </w:r>
      <w:r>
        <w:rPr>
          <w:rStyle w:val="18"/>
          <w:rFonts w:hint="eastAsia" w:ascii="仿宋_GB2312" w:hAnsi="宋体" w:eastAsia="仿宋_GB2312"/>
          <w:b w:val="0"/>
          <w:spacing w:val="-4"/>
          <w:sz w:val="28"/>
          <w:szCs w:val="28"/>
          <w:highlight w:val="none"/>
        </w:rPr>
        <w:t>人 ，指标完成率10</w:t>
      </w:r>
      <w:r>
        <w:rPr>
          <w:rStyle w:val="18"/>
          <w:rFonts w:hint="eastAsia" w:ascii="仿宋_GB2312" w:hAnsi="宋体" w:eastAsia="仿宋_GB2312"/>
          <w:b w:val="0"/>
          <w:spacing w:val="-4"/>
          <w:sz w:val="28"/>
          <w:szCs w:val="28"/>
          <w:highlight w:val="none"/>
          <w:lang w:val="en-US" w:eastAsia="zh-CN"/>
        </w:rPr>
        <w:t>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：保障退休人数，指标值：=8人 ，实际完成值：8人 ，指标完成率100%；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、质量指标：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指标1：全年集中式饮用水水源地水质达标率，指标值：</w:t>
      </w:r>
      <w:r>
        <w:rPr>
          <w:rStyle w:val="18"/>
          <w:rFonts w:ascii="仿宋_GB2312" w:hAnsi="宋体" w:eastAsia="仿宋_GB2312"/>
          <w:b w:val="0"/>
          <w:spacing w:val="-4"/>
          <w:sz w:val="28"/>
          <w:szCs w:val="28"/>
          <w:highlight w:val="none"/>
        </w:rPr>
        <w:t>=100%</w:t>
      </w:r>
      <w:r>
        <w:rPr>
          <w:rStyle w:val="18"/>
          <w:rFonts w:hint="eastAsia" w:ascii="仿宋_GB2312" w:hAnsi="宋体" w:eastAsia="仿宋_GB2312"/>
          <w:b w:val="0"/>
          <w:spacing w:val="-4"/>
          <w:sz w:val="28"/>
          <w:szCs w:val="28"/>
          <w:highlight w:val="none"/>
        </w:rPr>
        <w:t xml:space="preserve"> ，实际完成值：100</w:t>
      </w:r>
      <w:r>
        <w:rPr>
          <w:rStyle w:val="18"/>
          <w:rFonts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rPr>
        <w:t>，指标完成率100%；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：全年河流监测断面水质达标率 ，指标值：</w:t>
      </w:r>
      <w:r>
        <w:rPr>
          <w:rStyle w:val="18"/>
          <w:rFonts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rPr>
        <w:t>100</w:t>
      </w:r>
      <w:r>
        <w:rPr>
          <w:rStyle w:val="18"/>
          <w:rFonts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rPr>
        <w:t xml:space="preserve"> ，实际完成值：100</w:t>
      </w:r>
      <w:r>
        <w:rPr>
          <w:rStyle w:val="18"/>
          <w:rFonts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rPr>
        <w:t xml:space="preserve"> ，指标完成率100</w:t>
      </w:r>
      <w:r>
        <w:rPr>
          <w:rStyle w:val="18"/>
          <w:rFonts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3</w:t>
      </w:r>
      <w:r>
        <w:rPr>
          <w:rStyle w:val="18"/>
          <w:rFonts w:hint="eastAsia" w:ascii="仿宋_GB2312" w:hAnsi="宋体" w:eastAsia="仿宋_GB2312"/>
          <w:b w:val="0"/>
          <w:spacing w:val="-4"/>
          <w:sz w:val="28"/>
          <w:szCs w:val="28"/>
          <w:highlight w:val="none"/>
        </w:rPr>
        <w:t>、时效指标：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指标1：人员工资及福利发放及时性 ，指标值：</w:t>
      </w:r>
      <w:r>
        <w:rPr>
          <w:rStyle w:val="18"/>
          <w:rFonts w:ascii="仿宋_GB2312" w:hAnsi="宋体" w:eastAsia="仿宋_GB2312"/>
          <w:b w:val="0"/>
          <w:spacing w:val="-4"/>
          <w:sz w:val="28"/>
          <w:szCs w:val="28"/>
          <w:highlight w:val="none"/>
        </w:rPr>
        <w:t>=100%</w:t>
      </w:r>
      <w:r>
        <w:rPr>
          <w:rStyle w:val="18"/>
          <w:rFonts w:hint="eastAsia" w:ascii="仿宋_GB2312" w:hAnsi="宋体" w:eastAsia="仿宋_GB2312"/>
          <w:b w:val="0"/>
          <w:spacing w:val="-4"/>
          <w:sz w:val="28"/>
          <w:szCs w:val="28"/>
          <w:highlight w:val="none"/>
        </w:rPr>
        <w:t xml:space="preserve"> ，实际完成值：</w:t>
      </w:r>
      <w:r>
        <w:rPr>
          <w:rStyle w:val="18"/>
          <w:rFonts w:ascii="仿宋_GB2312" w:hAnsi="宋体" w:eastAsia="仿宋_GB2312"/>
          <w:b w:val="0"/>
          <w:spacing w:val="-4"/>
          <w:sz w:val="28"/>
          <w:szCs w:val="28"/>
          <w:highlight w:val="none"/>
        </w:rPr>
        <w:t>100%</w:t>
      </w:r>
      <w:r>
        <w:rPr>
          <w:rStyle w:val="18"/>
          <w:rFonts w:hint="eastAsia" w:ascii="仿宋_GB2312" w:hAnsi="宋体" w:eastAsia="仿宋_GB2312"/>
          <w:b w:val="0"/>
          <w:spacing w:val="-4"/>
          <w:sz w:val="28"/>
          <w:szCs w:val="28"/>
          <w:highlight w:val="none"/>
        </w:rPr>
        <w:t>，指标完成率</w:t>
      </w:r>
      <w:r>
        <w:rPr>
          <w:rStyle w:val="18"/>
          <w:rFonts w:ascii="仿宋_GB2312" w:hAnsi="宋体" w:eastAsia="仿宋_GB2312"/>
          <w:b w:val="0"/>
          <w:spacing w:val="-4"/>
          <w:sz w:val="28"/>
          <w:szCs w:val="28"/>
          <w:highlight w:val="none"/>
        </w:rPr>
        <w:t>100%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ascii="仿宋_GB2312" w:hAnsi="宋体" w:eastAsia="仿宋_GB2312"/>
          <w:b w:val="0"/>
          <w:spacing w:val="-4"/>
          <w:sz w:val="28"/>
          <w:szCs w:val="28"/>
          <w:highlight w:val="none"/>
        </w:rPr>
        <w:t>4</w:t>
      </w:r>
      <w:r>
        <w:rPr>
          <w:rStyle w:val="18"/>
          <w:rFonts w:hint="eastAsia" w:ascii="仿宋_GB2312" w:hAnsi="宋体" w:eastAsia="仿宋_GB2312"/>
          <w:b w:val="0"/>
          <w:spacing w:val="-4"/>
          <w:sz w:val="28"/>
          <w:szCs w:val="28"/>
          <w:highlight w:val="none"/>
        </w:rPr>
        <w:t>、成本指标：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指标1：在职人员人均工资支出，指标值：≦9.83万元 ，实际完成值：</w:t>
      </w:r>
      <w:r>
        <w:rPr>
          <w:rStyle w:val="18"/>
          <w:rFonts w:hint="eastAsia" w:ascii="仿宋_GB2312" w:hAnsi="宋体" w:eastAsia="仿宋_GB2312"/>
          <w:b w:val="0"/>
          <w:spacing w:val="-4"/>
          <w:sz w:val="28"/>
          <w:szCs w:val="28"/>
          <w:highlight w:val="none"/>
          <w:lang w:val="en-US" w:eastAsia="zh-CN"/>
        </w:rPr>
        <w:t>9.83</w:t>
      </w:r>
      <w:r>
        <w:rPr>
          <w:rStyle w:val="18"/>
          <w:rFonts w:hint="eastAsia" w:ascii="仿宋_GB2312" w:hAnsi="宋体" w:eastAsia="仿宋_GB2312"/>
          <w:b w:val="0"/>
          <w:spacing w:val="-4"/>
          <w:sz w:val="28"/>
          <w:szCs w:val="28"/>
          <w:highlight w:val="none"/>
        </w:rPr>
        <w:t>万元 ，指标完成率1</w:t>
      </w:r>
      <w:r>
        <w:rPr>
          <w:rStyle w:val="18"/>
          <w:rFonts w:hint="eastAsia" w:ascii="仿宋_GB2312" w:hAnsi="宋体" w:eastAsia="仿宋_GB2312"/>
          <w:b w:val="0"/>
          <w:spacing w:val="-4"/>
          <w:sz w:val="28"/>
          <w:szCs w:val="28"/>
          <w:highlight w:val="none"/>
          <w:lang w:val="en-US" w:eastAsia="zh-CN"/>
        </w:rPr>
        <w:t>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：退休人员人均补助支出 ，指标值：≦0.21万元，实际完成值：0.22 ，指标完成率10</w:t>
      </w:r>
      <w:r>
        <w:rPr>
          <w:rStyle w:val="18"/>
          <w:rFonts w:hint="eastAsia" w:ascii="仿宋_GB2312" w:hAnsi="宋体" w:eastAsia="仿宋_GB2312"/>
          <w:b w:val="0"/>
          <w:spacing w:val="-4"/>
          <w:sz w:val="28"/>
          <w:szCs w:val="28"/>
          <w:highlight w:val="none"/>
          <w:lang w:val="en-US" w:eastAsia="zh-CN"/>
        </w:rPr>
        <w:t>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指标3：运转人均保障支出 ，指标值：≦0.34万元，实际完成值：0.34，指标完成率100%；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5、社会效益指标：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指标1：提高居民的环保意识，指标值：显著提升 ，实际完成值：显著提升，指标完成率100%；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6、生态效益指标：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指标1：改善县域环境质量，指标值：效果显著 ，实际完成值：效果显著，指标完成率100%；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7、可持续影响指标：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指标1：巩固国家级生态文明示范县创建成果 ，指标值：效果显著，实际完成值：效果显著，指标完成率100%；</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8、满意度指标：</w:t>
      </w:r>
    </w:p>
    <w:p>
      <w:pPr>
        <w:snapToGrid w:val="0"/>
        <w:spacing w:line="360" w:lineRule="auto"/>
        <w:ind w:firstLine="544" w:firstLineChars="200"/>
        <w:rPr>
          <w:rStyle w:val="18"/>
          <w:rFonts w:ascii="仿宋_GB2312" w:hAnsi="宋体" w:eastAsia="仿宋_GB2312"/>
          <w:b w:val="0"/>
          <w:spacing w:val="-4"/>
          <w:sz w:val="28"/>
          <w:szCs w:val="28"/>
          <w:highlight w:val="none"/>
        </w:rPr>
      </w:pPr>
      <w:r>
        <w:rPr>
          <w:rStyle w:val="18"/>
          <w:rFonts w:hint="eastAsia" w:ascii="仿宋_GB2312" w:hAnsi="宋体" w:eastAsia="仿宋_GB2312"/>
          <w:b w:val="0"/>
          <w:spacing w:val="-4"/>
          <w:sz w:val="28"/>
          <w:szCs w:val="28"/>
          <w:highlight w:val="none"/>
        </w:rPr>
        <w:t>指标1：干部职工满意度，指标值：≥90% ，实际完成值：</w:t>
      </w:r>
      <w:r>
        <w:rPr>
          <w:rStyle w:val="18"/>
          <w:rFonts w:hint="eastAsia" w:ascii="仿宋_GB2312" w:hAnsi="宋体" w:eastAsia="仿宋_GB2312"/>
          <w:b w:val="0"/>
          <w:spacing w:val="-4"/>
          <w:sz w:val="28"/>
          <w:szCs w:val="28"/>
          <w:highlight w:val="none"/>
          <w:lang w:val="en-US" w:eastAsia="zh-CN"/>
        </w:rPr>
        <w:t>9</w:t>
      </w:r>
      <w:r>
        <w:rPr>
          <w:rStyle w:val="18"/>
          <w:rFonts w:hint="eastAsia" w:ascii="仿宋_GB2312" w:hAnsi="宋体" w:eastAsia="仿宋_GB2312"/>
          <w:b w:val="0"/>
          <w:spacing w:val="-4"/>
          <w:sz w:val="28"/>
          <w:szCs w:val="28"/>
          <w:highlight w:val="none"/>
        </w:rPr>
        <w:t>0% ，指标完成率1</w:t>
      </w:r>
      <w:r>
        <w:rPr>
          <w:rStyle w:val="18"/>
          <w:rFonts w:hint="eastAsia" w:ascii="仿宋_GB2312" w:hAnsi="宋体" w:eastAsia="仿宋_GB2312"/>
          <w:b w:val="0"/>
          <w:spacing w:val="-4"/>
          <w:sz w:val="28"/>
          <w:szCs w:val="28"/>
          <w:highlight w:val="none"/>
          <w:lang w:val="en-US" w:eastAsia="zh-CN"/>
        </w:rPr>
        <w:t>00</w:t>
      </w:r>
      <w:r>
        <w:rPr>
          <w:rStyle w:val="18"/>
          <w:rFonts w:hint="eastAsia" w:ascii="仿宋_GB2312" w:hAnsi="宋体" w:eastAsia="仿宋_GB2312"/>
          <w:b w:val="0"/>
          <w:spacing w:val="-4"/>
          <w:sz w:val="28"/>
          <w:szCs w:val="28"/>
          <w:highlight w:val="none"/>
        </w:rPr>
        <w:t>%；</w:t>
      </w:r>
    </w:p>
    <w:p>
      <w:pPr>
        <w:snapToGrid w:val="0"/>
        <w:spacing w:line="360" w:lineRule="auto"/>
        <w:ind w:firstLine="544" w:firstLineChars="200"/>
        <w:rPr>
          <w:rStyle w:val="18"/>
          <w:rFonts w:hint="eastAsia" w:ascii="仿宋_GB2312" w:hAnsi="宋体" w:eastAsia="仿宋_GB2312"/>
          <w:b w:val="0"/>
          <w:spacing w:val="-4"/>
          <w:sz w:val="28"/>
          <w:szCs w:val="28"/>
          <w:highlight w:val="none"/>
          <w:lang w:eastAsia="zh-CN"/>
        </w:rPr>
      </w:pPr>
      <w:r>
        <w:rPr>
          <w:rStyle w:val="18"/>
          <w:rFonts w:hint="eastAsia" w:ascii="仿宋_GB2312" w:hAnsi="宋体" w:eastAsia="仿宋_GB2312"/>
          <w:b w:val="0"/>
          <w:spacing w:val="-4"/>
          <w:sz w:val="28"/>
          <w:szCs w:val="28"/>
          <w:highlight w:val="none"/>
        </w:rPr>
        <w:t>指标</w:t>
      </w:r>
      <w:r>
        <w:rPr>
          <w:rStyle w:val="18"/>
          <w:rFonts w:ascii="仿宋_GB2312" w:hAnsi="宋体" w:eastAsia="仿宋_GB2312"/>
          <w:b w:val="0"/>
          <w:spacing w:val="-4"/>
          <w:sz w:val="28"/>
          <w:szCs w:val="28"/>
          <w:highlight w:val="none"/>
        </w:rPr>
        <w:t>2</w:t>
      </w:r>
      <w:r>
        <w:rPr>
          <w:rStyle w:val="18"/>
          <w:rFonts w:hint="eastAsia" w:ascii="仿宋_GB2312" w:hAnsi="宋体" w:eastAsia="仿宋_GB2312"/>
          <w:b w:val="0"/>
          <w:spacing w:val="-4"/>
          <w:sz w:val="28"/>
          <w:szCs w:val="28"/>
          <w:highlight w:val="none"/>
        </w:rPr>
        <w:t>：相关企业满意度，指标值：≥90% ，实际完成值：</w:t>
      </w:r>
      <w:r>
        <w:rPr>
          <w:rStyle w:val="18"/>
          <w:rFonts w:hint="eastAsia" w:ascii="仿宋_GB2312" w:hAnsi="宋体" w:eastAsia="仿宋_GB2312"/>
          <w:b w:val="0"/>
          <w:spacing w:val="-4"/>
          <w:sz w:val="28"/>
          <w:szCs w:val="28"/>
          <w:highlight w:val="none"/>
          <w:lang w:val="en-US" w:eastAsia="zh-CN"/>
        </w:rPr>
        <w:t>9</w:t>
      </w:r>
      <w:r>
        <w:rPr>
          <w:rStyle w:val="18"/>
          <w:rFonts w:hint="eastAsia" w:ascii="仿宋_GB2312" w:hAnsi="宋体" w:eastAsia="仿宋_GB2312"/>
          <w:b w:val="0"/>
          <w:spacing w:val="-4"/>
          <w:sz w:val="28"/>
          <w:szCs w:val="28"/>
          <w:highlight w:val="none"/>
        </w:rPr>
        <w:t>0%，指标完成率1</w:t>
      </w:r>
      <w:r>
        <w:rPr>
          <w:rStyle w:val="18"/>
          <w:rFonts w:hint="eastAsia" w:ascii="仿宋_GB2312" w:hAnsi="宋体" w:eastAsia="仿宋_GB2312"/>
          <w:b w:val="0"/>
          <w:spacing w:val="-4"/>
          <w:sz w:val="28"/>
          <w:szCs w:val="28"/>
          <w:highlight w:val="none"/>
          <w:lang w:val="en-US" w:eastAsia="zh-CN"/>
        </w:rPr>
        <w:t>00</w:t>
      </w:r>
      <w:r>
        <w:rPr>
          <w:rStyle w:val="18"/>
          <w:rFonts w:hint="eastAsia" w:ascii="仿宋_GB2312" w:hAnsi="宋体" w:eastAsia="仿宋_GB2312"/>
          <w:b w:val="0"/>
          <w:spacing w:val="-4"/>
          <w:sz w:val="28"/>
          <w:szCs w:val="28"/>
          <w:highlight w:val="none"/>
        </w:rPr>
        <w:t>%</w:t>
      </w:r>
      <w:r>
        <w:rPr>
          <w:rStyle w:val="18"/>
          <w:rFonts w:hint="eastAsia" w:ascii="仿宋_GB2312" w:hAnsi="宋体" w:eastAsia="仿宋_GB2312"/>
          <w:b w:val="0"/>
          <w:spacing w:val="-4"/>
          <w:sz w:val="28"/>
          <w:szCs w:val="28"/>
          <w:highlight w:val="none"/>
          <w:lang w:eastAsia="zh-CN"/>
        </w:rPr>
        <w:t>。</w:t>
      </w:r>
    </w:p>
    <w:p>
      <w:pPr>
        <w:spacing w:line="360" w:lineRule="auto"/>
        <w:ind w:firstLine="544" w:firstLineChars="200"/>
        <w:rPr>
          <w:rStyle w:val="18"/>
          <w:rFonts w:ascii="仿宋_GB2312" w:hAnsi="宋体" w:eastAsia="仿宋_GB2312"/>
          <w:b w:val="0"/>
          <w:bCs w:val="0"/>
          <w:color w:val="FF0000"/>
          <w:spacing w:val="-4"/>
          <w:sz w:val="28"/>
          <w:szCs w:val="28"/>
        </w:rPr>
      </w:pPr>
    </w:p>
    <w:p>
      <w:pPr>
        <w:pStyle w:val="4"/>
        <w:spacing w:line="360" w:lineRule="auto"/>
        <w:rPr>
          <w:rFonts w:ascii="仿宋" w:hAnsi="仿宋" w:eastAsia="仿宋"/>
          <w:sz w:val="36"/>
          <w:szCs w:val="36"/>
        </w:rPr>
      </w:pPr>
      <w:bookmarkStart w:id="36" w:name="_Toc70450317"/>
      <w:bookmarkStart w:id="37" w:name="_Toc102042565"/>
      <w:r>
        <w:rPr>
          <w:rFonts w:hint="eastAsia" w:ascii="仿宋" w:hAnsi="仿宋" w:eastAsia="仿宋"/>
          <w:sz w:val="36"/>
          <w:szCs w:val="36"/>
        </w:rPr>
        <w:t>六、存在的主要问题</w:t>
      </w:r>
      <w:bookmarkEnd w:id="36"/>
      <w:bookmarkEnd w:id="37"/>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bookmarkStart w:id="38" w:name="_Toc102042566"/>
      <w:bookmarkStart w:id="39" w:name="_Toc70450318"/>
      <w:r>
        <w:rPr>
          <w:rStyle w:val="18"/>
          <w:rFonts w:hint="eastAsia" w:ascii="仿宋_GB2312" w:hAnsi="宋体" w:eastAsia="仿宋_GB2312" w:cstheme="minorBidi"/>
          <w:b w:val="0"/>
          <w:bCs w:val="0"/>
          <w:color w:val="auto"/>
          <w:spacing w:val="-4"/>
          <w:kern w:val="2"/>
          <w:sz w:val="28"/>
          <w:szCs w:val="28"/>
          <w:lang w:val="en-US" w:eastAsia="zh-CN" w:bidi="ar-SA"/>
        </w:rPr>
        <w:t>（一）项目细化管理工作不足。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二）预算绩效管理水平仍有欠缺。在2020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（三）固定资产管理水平有待提高</w:t>
      </w:r>
    </w:p>
    <w:p>
      <w:pPr>
        <w:pStyle w:val="14"/>
        <w:widowControl/>
        <w:spacing w:before="40" w:beforeAutospacing="0" w:after="0" w:afterAutospacing="0" w:line="520" w:lineRule="atLeast"/>
        <w:ind w:firstLine="520"/>
        <w:jc w:val="both"/>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固定资产台账未及时与账面资产金额对账且末与实物进行清点及及时清理处置报废资产导致资产台账与账面资产金额存在差异,固定资产管理继续加强中。</w:t>
      </w:r>
    </w:p>
    <w:p>
      <w:pPr>
        <w:pStyle w:val="4"/>
        <w:spacing w:line="360" w:lineRule="auto"/>
        <w:rPr>
          <w:rFonts w:ascii="仿宋" w:hAnsi="仿宋" w:eastAsia="仿宋"/>
          <w:sz w:val="36"/>
          <w:szCs w:val="36"/>
        </w:rPr>
      </w:pPr>
      <w:r>
        <w:rPr>
          <w:rFonts w:hint="eastAsia" w:ascii="仿宋" w:hAnsi="仿宋" w:eastAsia="仿宋"/>
          <w:sz w:val="36"/>
          <w:szCs w:val="36"/>
        </w:rPr>
        <w:t>七、改进措施和建议</w:t>
      </w:r>
      <w:bookmarkEnd w:id="38"/>
      <w:bookmarkEnd w:id="39"/>
    </w:p>
    <w:p>
      <w:pPr>
        <w:pStyle w:val="2"/>
        <w:spacing w:line="360" w:lineRule="auto"/>
        <w:rPr>
          <w:rStyle w:val="18"/>
          <w:rFonts w:ascii="仿宋" w:hAnsi="仿宋" w:eastAsia="仿宋"/>
          <w:b/>
          <w:bCs/>
        </w:rPr>
      </w:pPr>
      <w:bookmarkStart w:id="40" w:name="_Toc70450319"/>
      <w:r>
        <w:rPr>
          <w:rStyle w:val="18"/>
          <w:rFonts w:hint="eastAsia" w:ascii="仿宋" w:hAnsi="仿宋" w:eastAsia="仿宋"/>
          <w:b/>
          <w:bCs/>
        </w:rPr>
        <w:t>（一）改进措施</w:t>
      </w:r>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1.加强新行政单位会计制度和新预算法学习培训、规范账务处理，加强新《预算法》、《行政单位会计制度》 、《会计法》 、《行政单位财务规则》等学习培训,规范部门预算收支核算。 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2.完善管理制度,进-步加强资产管理。严格按照《固定资产管理办法》的规定，加强固定资产管理,及时登记、更新台账，加强资产卡片管理,对各类实物资产进行全面盘点,确保账账、账实相符。</w:t>
      </w:r>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3.加强学习。进一步明确如何参照考核体系，科学合理设定绩效目标，充分发挥预算绩效管理工作效用。</w:t>
      </w:r>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4.财务上，会计核算要更加详细，为本单位各项工作的开展、总结、评估提供有效数据资料支撑,为各项业务工作更好的开展提供帮助。</w:t>
      </w:r>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5.从源头上强化对专项资金预算管理。实行专项资金预算管理，结合单位实际, 按轻重缓急统筹安排编制预算,提高预算编制科学性和合理性,优化资金结构。</w:t>
      </w:r>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6.按时间进度分解资金使用计划。专项资金的使用，要事前做计划，事中进行控制，事后总结提高。合理安排资金使用,充分体现资金投向的目标和效益。</w:t>
      </w:r>
    </w:p>
    <w:p>
      <w:pPr>
        <w:pStyle w:val="32"/>
        <w:spacing w:line="560" w:lineRule="exact"/>
        <w:ind w:firstLine="544" w:firstLineChars="200"/>
        <w:rPr>
          <w:rStyle w:val="18"/>
          <w:rFonts w:hint="eastAsia" w:ascii="仿宋_GB2312" w:hAnsi="宋体" w:eastAsia="仿宋_GB2312" w:cstheme="minorBidi"/>
          <w:b w:val="0"/>
          <w:bCs w:val="0"/>
          <w:color w:val="auto"/>
          <w:spacing w:val="-4"/>
          <w:kern w:val="2"/>
          <w:sz w:val="28"/>
          <w:szCs w:val="28"/>
          <w:lang w:val="en-US" w:eastAsia="zh-CN" w:bidi="ar-SA"/>
        </w:rPr>
      </w:pPr>
      <w:r>
        <w:rPr>
          <w:rStyle w:val="18"/>
          <w:rFonts w:hint="eastAsia" w:ascii="仿宋_GB2312" w:hAnsi="宋体" w:eastAsia="仿宋_GB2312" w:cstheme="minorBidi"/>
          <w:b w:val="0"/>
          <w:bCs w:val="0"/>
          <w:color w:val="auto"/>
          <w:spacing w:val="-4"/>
          <w:kern w:val="2"/>
          <w:sz w:val="28"/>
          <w:szCs w:val="28"/>
          <w:lang w:val="en-US" w:eastAsia="zh-CN" w:bidi="ar-SA"/>
        </w:rPr>
        <w:t>7.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bookmarkEnd w:id="40"/>
    <w:p>
      <w:pPr>
        <w:pStyle w:val="2"/>
        <w:spacing w:line="360" w:lineRule="auto"/>
        <w:rPr>
          <w:rStyle w:val="18"/>
          <w:rFonts w:ascii="仿宋" w:hAnsi="仿宋" w:eastAsia="仿宋"/>
          <w:b/>
          <w:bCs/>
          <w:highlight w:val="none"/>
        </w:rPr>
      </w:pPr>
      <w:bookmarkStart w:id="41" w:name="_Toc70450320"/>
      <w:r>
        <w:rPr>
          <w:rStyle w:val="18"/>
          <w:rFonts w:hint="eastAsia" w:ascii="仿宋" w:hAnsi="仿宋" w:eastAsia="仿宋"/>
          <w:b/>
          <w:bCs/>
          <w:highlight w:val="none"/>
        </w:rPr>
        <w:t>（二）建议</w:t>
      </w:r>
      <w:bookmarkEnd w:id="41"/>
    </w:p>
    <w:p>
      <w:pPr>
        <w:pStyle w:val="14"/>
        <w:widowControl/>
        <w:spacing w:before="40" w:beforeAutospacing="0" w:after="0" w:afterAutospacing="0" w:line="520" w:lineRule="atLeast"/>
        <w:ind w:firstLine="520"/>
        <w:jc w:val="both"/>
        <w:rPr>
          <w:rStyle w:val="18"/>
          <w:rFonts w:hint="eastAsia" w:ascii="仿宋_GB2312" w:hAnsi="宋体" w:eastAsia="仿宋_GB2312" w:cs="Times New Roman"/>
          <w:b w:val="0"/>
          <w:spacing w:val="-4"/>
          <w:kern w:val="2"/>
          <w:sz w:val="28"/>
          <w:szCs w:val="28"/>
          <w:lang w:val="en-US" w:eastAsia="zh-CN" w:bidi="ar-SA"/>
        </w:rPr>
      </w:pPr>
      <w:bookmarkStart w:id="42" w:name="_Toc70450321"/>
      <w:bookmarkStart w:id="43" w:name="_Toc102042567"/>
      <w:r>
        <w:rPr>
          <w:rStyle w:val="18"/>
          <w:rFonts w:hint="eastAsia" w:ascii="仿宋_GB2312" w:hAnsi="宋体" w:eastAsia="仿宋_GB2312" w:cs="Times New Roman"/>
          <w:b w:val="0"/>
          <w:spacing w:val="-4"/>
          <w:kern w:val="2"/>
          <w:sz w:val="28"/>
          <w:szCs w:val="28"/>
          <w:lang w:val="en-US" w:eastAsia="zh-CN" w:bidi="ar-SA"/>
        </w:rPr>
        <w:t>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4"/>
        <w:spacing w:line="360" w:lineRule="auto"/>
        <w:rPr>
          <w:rStyle w:val="18"/>
          <w:rFonts w:ascii="仿宋" w:hAnsi="仿宋" w:eastAsia="仿宋"/>
          <w:b/>
          <w:bCs/>
          <w:sz w:val="36"/>
          <w:szCs w:val="36"/>
        </w:rPr>
      </w:pPr>
      <w:r>
        <w:rPr>
          <w:rStyle w:val="18"/>
          <w:rFonts w:hint="eastAsia" w:ascii="仿宋" w:hAnsi="仿宋" w:eastAsia="仿宋"/>
          <w:b/>
          <w:bCs/>
          <w:sz w:val="36"/>
          <w:szCs w:val="36"/>
        </w:rPr>
        <w:t>八、附表</w:t>
      </w:r>
      <w:r>
        <w:rPr>
          <w:rStyle w:val="18"/>
          <w:rFonts w:hint="eastAsia" w:ascii="仿宋" w:hAnsi="仿宋" w:eastAsia="仿宋"/>
          <w:b w:val="0"/>
          <w:bCs w:val="0"/>
          <w:spacing w:val="-4"/>
          <w:sz w:val="36"/>
          <w:szCs w:val="36"/>
        </w:rPr>
        <w:t>：</w:t>
      </w:r>
      <w:bookmarkStart w:id="44" w:name="_Hlk70450148"/>
      <w:r>
        <w:rPr>
          <w:rStyle w:val="18"/>
          <w:rFonts w:hint="eastAsia" w:ascii="仿宋" w:hAnsi="仿宋" w:eastAsia="仿宋"/>
          <w:b/>
          <w:bCs/>
          <w:sz w:val="36"/>
          <w:szCs w:val="36"/>
        </w:rPr>
        <w:t>《部门整体支出绩效目标自评表》</w:t>
      </w:r>
      <w:bookmarkEnd w:id="42"/>
      <w:bookmarkEnd w:id="43"/>
      <w:bookmarkEnd w:id="44"/>
    </w:p>
    <w:tbl>
      <w:tblPr>
        <w:tblStyle w:val="16"/>
        <w:tblW w:w="10266" w:type="dxa"/>
        <w:tblInd w:w="-601" w:type="dxa"/>
        <w:tblLayout w:type="fixed"/>
        <w:tblCellMar>
          <w:top w:w="0" w:type="dxa"/>
          <w:left w:w="108" w:type="dxa"/>
          <w:bottom w:w="0" w:type="dxa"/>
          <w:right w:w="108" w:type="dxa"/>
        </w:tblCellMar>
      </w:tblPr>
      <w:tblGrid>
        <w:gridCol w:w="567"/>
        <w:gridCol w:w="31"/>
        <w:gridCol w:w="247"/>
        <w:gridCol w:w="715"/>
        <w:gridCol w:w="283"/>
        <w:gridCol w:w="236"/>
        <w:gridCol w:w="615"/>
        <w:gridCol w:w="992"/>
        <w:gridCol w:w="271"/>
        <w:gridCol w:w="378"/>
        <w:gridCol w:w="343"/>
        <w:gridCol w:w="56"/>
        <w:gridCol w:w="527"/>
        <w:gridCol w:w="410"/>
        <w:gridCol w:w="644"/>
        <w:gridCol w:w="206"/>
        <w:gridCol w:w="427"/>
        <w:gridCol w:w="565"/>
        <w:gridCol w:w="993"/>
        <w:gridCol w:w="613"/>
        <w:gridCol w:w="521"/>
        <w:gridCol w:w="626"/>
      </w:tblGrid>
      <w:tr>
        <w:tblPrEx>
          <w:tblCellMar>
            <w:top w:w="0" w:type="dxa"/>
            <w:left w:w="108" w:type="dxa"/>
            <w:bottom w:w="0" w:type="dxa"/>
            <w:right w:w="108" w:type="dxa"/>
          </w:tblCellMar>
        </w:tblPrEx>
        <w:trPr>
          <w:gridAfter w:val="2"/>
          <w:wAfter w:w="1147" w:type="dxa"/>
          <w:trHeight w:val="405" w:hRule="atLeast"/>
        </w:trPr>
        <w:tc>
          <w:tcPr>
            <w:tcW w:w="9119" w:type="dxa"/>
            <w:gridSpan w:val="20"/>
            <w:tcBorders>
              <w:top w:val="nil"/>
              <w:left w:val="nil"/>
              <w:bottom w:val="nil"/>
              <w:right w:val="nil"/>
            </w:tcBorders>
            <w:shd w:val="clear" w:color="auto" w:fill="auto"/>
            <w:vAlign w:val="center"/>
          </w:tcPr>
          <w:p>
            <w:pPr>
              <w:widowControl/>
              <w:spacing w:line="640" w:lineRule="exact"/>
              <w:rPr>
                <w:rFonts w:ascii="宋体" w:hAnsi="宋体" w:eastAsia="宋体" w:cs="宋体"/>
                <w:b/>
                <w:bCs/>
                <w:kern w:val="0"/>
                <w:sz w:val="32"/>
                <w:szCs w:val="32"/>
              </w:rPr>
            </w:pPr>
          </w:p>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gridAfter w:val="2"/>
          <w:wAfter w:w="1147" w:type="dxa"/>
          <w:trHeight w:val="285" w:hRule="atLeast"/>
        </w:trPr>
        <w:tc>
          <w:tcPr>
            <w:tcW w:w="9119" w:type="dxa"/>
            <w:gridSpan w:val="20"/>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rPr>
              <w:t>2021</w:t>
            </w:r>
            <w:r>
              <w:rPr>
                <w:rFonts w:ascii="Times New Roman" w:hAnsi="Times New Roman" w:eastAsia="宋体" w:cs="Times New Roman"/>
                <w:kern w:val="0"/>
                <w:sz w:val="24"/>
              </w:rPr>
              <w:t xml:space="preserve"> </w:t>
            </w:r>
            <w:r>
              <w:rPr>
                <w:rFonts w:hint="eastAsia" w:ascii="宋体" w:hAnsi="宋体" w:eastAsia="宋体" w:cs="宋体"/>
                <w:kern w:val="0"/>
                <w:sz w:val="24"/>
              </w:rPr>
              <w:t>年度）</w:t>
            </w:r>
          </w:p>
          <w:p>
            <w:pPr>
              <w:widowControl/>
              <w:spacing w:line="640" w:lineRule="exact"/>
              <w:jc w:val="center"/>
              <w:rPr>
                <w:rFonts w:ascii="宋体" w:hAnsi="宋体" w:eastAsia="宋体" w:cs="宋体"/>
                <w:kern w:val="0"/>
                <w:sz w:val="24"/>
              </w:rPr>
            </w:pPr>
          </w:p>
        </w:tc>
      </w:tr>
      <w:tr>
        <w:tblPrEx>
          <w:tblCellMar>
            <w:top w:w="0" w:type="dxa"/>
            <w:left w:w="108" w:type="dxa"/>
            <w:bottom w:w="0" w:type="dxa"/>
            <w:right w:w="108" w:type="dxa"/>
          </w:tblCellMar>
        </w:tblPrEx>
        <w:trPr>
          <w:trHeight w:val="285" w:hRule="atLeast"/>
        </w:trPr>
        <w:tc>
          <w:tcPr>
            <w:tcW w:w="598"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47"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98"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23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878" w:type="dxa"/>
            <w:gridSpan w:val="3"/>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37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399"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527"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054"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3951" w:type="dxa"/>
            <w:gridSpan w:val="7"/>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gridAfter w:val="1"/>
          <w:wAfter w:w="626" w:type="dxa"/>
          <w:trHeight w:val="285" w:hRule="atLeast"/>
        </w:trPr>
        <w:tc>
          <w:tcPr>
            <w:tcW w:w="1843" w:type="dxa"/>
            <w:gridSpan w:val="5"/>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部门名称</w:t>
            </w:r>
          </w:p>
        </w:tc>
        <w:tc>
          <w:tcPr>
            <w:tcW w:w="7797" w:type="dxa"/>
            <w:gridSpan w:val="1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伊犁哈萨克自治州生态环境局特克斯县分局　</w:t>
            </w:r>
          </w:p>
        </w:tc>
      </w:tr>
      <w:tr>
        <w:tblPrEx>
          <w:tblCellMar>
            <w:top w:w="0" w:type="dxa"/>
            <w:left w:w="108" w:type="dxa"/>
            <w:bottom w:w="0" w:type="dxa"/>
            <w:right w:w="108" w:type="dxa"/>
          </w:tblCellMar>
        </w:tblPrEx>
        <w:trPr>
          <w:gridAfter w:val="1"/>
          <w:wAfter w:w="626" w:type="dxa"/>
          <w:trHeight w:val="285" w:hRule="atLeast"/>
        </w:trPr>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年度主要任务</w:t>
            </w:r>
          </w:p>
        </w:tc>
        <w:tc>
          <w:tcPr>
            <w:tcW w:w="1276" w:type="dxa"/>
            <w:gridSpan w:val="4"/>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任务名称</w:t>
            </w:r>
          </w:p>
        </w:tc>
        <w:tc>
          <w:tcPr>
            <w:tcW w:w="1843"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主要内容</w:t>
            </w:r>
          </w:p>
        </w:tc>
        <w:tc>
          <w:tcPr>
            <w:tcW w:w="2835" w:type="dxa"/>
            <w:gridSpan w:val="8"/>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预算金额（万元）</w:t>
            </w:r>
          </w:p>
        </w:tc>
        <w:tc>
          <w:tcPr>
            <w:tcW w:w="3119"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2"/>
                <w:szCs w:val="22"/>
              </w:rPr>
            </w:pPr>
            <w:r>
              <w:rPr>
                <w:rFonts w:hint="eastAsia" w:ascii="宋体" w:hAnsi="宋体" w:eastAsia="宋体" w:cs="宋体"/>
                <w:kern w:val="0"/>
                <w:sz w:val="24"/>
              </w:rPr>
              <w:t>实际执行（万元）</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6" w:type="dxa"/>
            <w:gridSpan w:val="4"/>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84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2" w:type="dxa"/>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总额</w:t>
            </w:r>
          </w:p>
        </w:tc>
        <w:tc>
          <w:tcPr>
            <w:tcW w:w="993" w:type="dxa"/>
            <w:gridSpan w:val="3"/>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财政</w:t>
            </w:r>
          </w:p>
          <w:p>
            <w:pPr>
              <w:widowControl/>
              <w:jc w:val="left"/>
              <w:rPr>
                <w:rFonts w:ascii="宋体" w:hAnsi="宋体" w:eastAsia="宋体" w:cs="宋体"/>
                <w:kern w:val="0"/>
                <w:sz w:val="24"/>
              </w:rPr>
            </w:pPr>
            <w:r>
              <w:rPr>
                <w:rFonts w:hint="eastAsia" w:ascii="宋体" w:hAnsi="宋体" w:eastAsia="宋体" w:cs="宋体"/>
                <w:kern w:val="0"/>
                <w:sz w:val="24"/>
              </w:rPr>
              <w:t>拨款</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其他</w:t>
            </w:r>
          </w:p>
          <w:p>
            <w:pPr>
              <w:widowControl/>
              <w:jc w:val="left"/>
              <w:rPr>
                <w:rFonts w:ascii="宋体" w:hAnsi="宋体" w:eastAsia="宋体" w:cs="宋体"/>
                <w:kern w:val="0"/>
                <w:sz w:val="24"/>
              </w:rPr>
            </w:pPr>
            <w:r>
              <w:rPr>
                <w:rFonts w:hint="eastAsia" w:ascii="宋体" w:hAnsi="宋体" w:eastAsia="宋体" w:cs="宋体"/>
                <w:kern w:val="0"/>
                <w:sz w:val="24"/>
              </w:rPr>
              <w:t>资金</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总额</w:t>
            </w:r>
          </w:p>
        </w:tc>
        <w:tc>
          <w:tcPr>
            <w:tcW w:w="993"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财政</w:t>
            </w:r>
          </w:p>
          <w:p>
            <w:pPr>
              <w:widowControl/>
              <w:jc w:val="left"/>
              <w:rPr>
                <w:rFonts w:ascii="宋体" w:hAnsi="宋体" w:eastAsia="宋体" w:cs="宋体"/>
                <w:kern w:val="0"/>
                <w:sz w:val="24"/>
              </w:rPr>
            </w:pPr>
            <w:r>
              <w:rPr>
                <w:rFonts w:hint="eastAsia" w:ascii="宋体" w:hAnsi="宋体" w:eastAsia="宋体" w:cs="宋体"/>
                <w:kern w:val="0"/>
                <w:sz w:val="24"/>
              </w:rPr>
              <w:t>拨款</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rPr>
            </w:pPr>
            <w:r>
              <w:rPr>
                <w:rFonts w:hint="eastAsia" w:ascii="宋体" w:hAnsi="宋体" w:eastAsia="宋体" w:cs="宋体"/>
                <w:kern w:val="0"/>
                <w:sz w:val="24"/>
              </w:rPr>
              <w:t>其他</w:t>
            </w:r>
          </w:p>
          <w:p>
            <w:pPr>
              <w:widowControl/>
              <w:jc w:val="left"/>
              <w:rPr>
                <w:rFonts w:ascii="宋体" w:hAnsi="宋体" w:eastAsia="宋体" w:cs="宋体"/>
                <w:kern w:val="0"/>
                <w:sz w:val="24"/>
              </w:rPr>
            </w:pPr>
            <w:r>
              <w:rPr>
                <w:rFonts w:hint="eastAsia" w:ascii="宋体" w:hAnsi="宋体" w:eastAsia="宋体" w:cs="宋体"/>
                <w:kern w:val="0"/>
                <w:sz w:val="24"/>
              </w:rPr>
              <w:t>资金</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人员保障</w:t>
            </w:r>
          </w:p>
        </w:tc>
        <w:tc>
          <w:tcPr>
            <w:tcW w:w="1843" w:type="dxa"/>
            <w:gridSpan w:val="3"/>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用于保障单位人员发放工资福利支出和对个人和家庭补助</w:t>
            </w:r>
          </w:p>
        </w:tc>
        <w:tc>
          <w:tcPr>
            <w:tcW w:w="992" w:type="dxa"/>
            <w:gridSpan w:val="3"/>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ascii="宋体" w:hAnsi="宋体" w:eastAsia="宋体" w:cs="宋体"/>
                <w:kern w:val="0"/>
                <w:sz w:val="24"/>
                <w:highlight w:val="none"/>
              </w:rPr>
              <w:t>198.28</w:t>
            </w:r>
          </w:p>
        </w:tc>
        <w:tc>
          <w:tcPr>
            <w:tcW w:w="993" w:type="dxa"/>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ascii="宋体" w:hAnsi="宋体" w:eastAsia="宋体" w:cs="宋体"/>
                <w:kern w:val="0"/>
                <w:sz w:val="24"/>
                <w:highlight w:val="none"/>
              </w:rPr>
              <w:t>198.28</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ascii="宋体" w:hAnsi="宋体" w:eastAsia="宋体" w:cs="宋体"/>
                <w:kern w:val="0"/>
                <w:sz w:val="24"/>
                <w:highlight w:val="none"/>
              </w:rPr>
              <w:t>198.28</w:t>
            </w:r>
          </w:p>
        </w:tc>
        <w:tc>
          <w:tcPr>
            <w:tcW w:w="9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ascii="宋体" w:hAnsi="宋体" w:eastAsia="宋体" w:cs="宋体"/>
                <w:kern w:val="0"/>
                <w:sz w:val="24"/>
                <w:highlight w:val="none"/>
              </w:rPr>
              <w:t>198.28</w:t>
            </w:r>
          </w:p>
        </w:tc>
        <w:tc>
          <w:tcPr>
            <w:tcW w:w="1134" w:type="dxa"/>
            <w:gridSpan w:val="2"/>
            <w:tcBorders>
              <w:top w:val="nil"/>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4"/>
                <w:highlight w:val="none"/>
              </w:rPr>
            </w:pPr>
            <w:r>
              <w:rPr>
                <w:rFonts w:hint="eastAsia" w:ascii="宋体" w:hAnsi="宋体" w:eastAsia="宋体" w:cs="宋体"/>
                <w:kern w:val="0"/>
                <w:sz w:val="24"/>
                <w:highlight w:val="none"/>
              </w:rPr>
              <w:t>　</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276"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运转保障</w:t>
            </w:r>
          </w:p>
        </w:tc>
        <w:tc>
          <w:tcPr>
            <w:tcW w:w="1843" w:type="dxa"/>
            <w:gridSpan w:val="3"/>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4"/>
              </w:rPr>
            </w:pPr>
            <w:r>
              <w:rPr>
                <w:rFonts w:hint="eastAsia" w:ascii="宋体" w:hAnsi="宋体" w:eastAsia="宋体" w:cs="宋体"/>
                <w:kern w:val="0"/>
                <w:sz w:val="24"/>
              </w:rPr>
              <w:t>　用于日常办公费、取暖费、三公经费、工会费、福利费及其他商品和服务</w:t>
            </w:r>
          </w:p>
        </w:tc>
        <w:tc>
          <w:tcPr>
            <w:tcW w:w="992" w:type="dxa"/>
            <w:gridSpan w:val="3"/>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ascii="宋体" w:hAnsi="宋体" w:eastAsia="宋体" w:cs="宋体"/>
                <w:kern w:val="0"/>
                <w:sz w:val="24"/>
                <w:highlight w:val="none"/>
              </w:rPr>
              <w:t>6.8</w:t>
            </w:r>
          </w:p>
        </w:tc>
        <w:tc>
          <w:tcPr>
            <w:tcW w:w="993" w:type="dxa"/>
            <w:gridSpan w:val="3"/>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ascii="宋体" w:hAnsi="宋体" w:eastAsia="宋体" w:cs="宋体"/>
                <w:kern w:val="0"/>
                <w:sz w:val="24"/>
                <w:highlight w:val="none"/>
              </w:rPr>
              <w:t>6.8</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ascii="宋体" w:hAnsi="宋体" w:eastAsia="宋体" w:cs="宋体"/>
                <w:kern w:val="0"/>
                <w:sz w:val="24"/>
                <w:highlight w:val="none"/>
              </w:rPr>
              <w:t>6.8</w:t>
            </w:r>
          </w:p>
        </w:tc>
        <w:tc>
          <w:tcPr>
            <w:tcW w:w="993"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r>
              <w:rPr>
                <w:rFonts w:ascii="宋体" w:hAnsi="宋体" w:eastAsia="宋体" w:cs="宋体"/>
                <w:kern w:val="0"/>
                <w:sz w:val="24"/>
                <w:highlight w:val="none"/>
              </w:rPr>
              <w:t>6.8</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3119"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金额合计</w:t>
            </w:r>
          </w:p>
        </w:tc>
        <w:tc>
          <w:tcPr>
            <w:tcW w:w="992" w:type="dxa"/>
            <w:gridSpan w:val="3"/>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205.08</w:t>
            </w:r>
          </w:p>
        </w:tc>
        <w:tc>
          <w:tcPr>
            <w:tcW w:w="993"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205.08</w:t>
            </w:r>
          </w:p>
        </w:tc>
        <w:tc>
          <w:tcPr>
            <w:tcW w:w="850"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p>
        </w:tc>
        <w:tc>
          <w:tcPr>
            <w:tcW w:w="992"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205.08</w:t>
            </w:r>
          </w:p>
        </w:tc>
        <w:tc>
          <w:tcPr>
            <w:tcW w:w="9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205.08</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w:t>
            </w:r>
          </w:p>
        </w:tc>
      </w:tr>
      <w:tr>
        <w:tblPrEx>
          <w:tblCellMar>
            <w:top w:w="0" w:type="dxa"/>
            <w:left w:w="108" w:type="dxa"/>
            <w:bottom w:w="0" w:type="dxa"/>
            <w:right w:w="108" w:type="dxa"/>
          </w:tblCellMar>
        </w:tblPrEx>
        <w:trPr>
          <w:gridAfter w:val="1"/>
          <w:wAfter w:w="626" w:type="dxa"/>
          <w:trHeight w:val="285"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　</w:t>
            </w:r>
          </w:p>
        </w:tc>
        <w:tc>
          <w:tcPr>
            <w:tcW w:w="4111" w:type="dxa"/>
            <w:gridSpan w:val="10"/>
            <w:tcBorders>
              <w:top w:val="single" w:color="auto" w:sz="4" w:space="0"/>
              <w:left w:val="nil"/>
              <w:bottom w:val="single" w:color="auto" w:sz="4" w:space="0"/>
              <w:right w:val="nil"/>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预期目标</w:t>
            </w:r>
          </w:p>
        </w:tc>
        <w:tc>
          <w:tcPr>
            <w:tcW w:w="4962" w:type="dxa"/>
            <w:gridSpan w:val="10"/>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实际完成目标</w:t>
            </w:r>
          </w:p>
        </w:tc>
      </w:tr>
      <w:tr>
        <w:tblPrEx>
          <w:tblCellMar>
            <w:top w:w="0" w:type="dxa"/>
            <w:left w:w="108" w:type="dxa"/>
            <w:bottom w:w="0" w:type="dxa"/>
            <w:right w:w="108" w:type="dxa"/>
          </w:tblCellMar>
        </w:tblPrEx>
        <w:trPr>
          <w:gridAfter w:val="1"/>
          <w:wAfter w:w="626" w:type="dxa"/>
          <w:trHeight w:val="2070" w:hRule="atLeast"/>
        </w:trPr>
        <w:tc>
          <w:tcPr>
            <w:tcW w:w="567"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年度总体目标</w:t>
            </w:r>
          </w:p>
        </w:tc>
        <w:tc>
          <w:tcPr>
            <w:tcW w:w="4111" w:type="dxa"/>
            <w:gridSpan w:val="10"/>
            <w:tcBorders>
              <w:top w:val="single" w:color="auto" w:sz="4" w:space="0"/>
              <w:left w:val="nil"/>
              <w:bottom w:val="single" w:color="auto" w:sz="4" w:space="0"/>
              <w:right w:val="single" w:color="auto" w:sz="4" w:space="0"/>
            </w:tcBorders>
            <w:shd w:val="clear" w:color="auto" w:fill="auto"/>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目标1：保证单位财政供养人员基本工资、津贴补贴、艰边补助预算的收支。                                                                                               目标2：保证单位重大环境问题的统筹协调和监督管理、环境污染防治的监督管理、生态环境监测、生态环境监察及监督执法等各项工作的顺利开展及完成。</w:t>
            </w:r>
          </w:p>
        </w:tc>
        <w:tc>
          <w:tcPr>
            <w:tcW w:w="4962" w:type="dxa"/>
            <w:gridSpan w:val="10"/>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1：完成单位财政供养人员基本工资、津贴补贴、艰边补助预算收支。                                                                                              2：完成环境污染防治的监督管理、生态环境监测、生态环境监察及监督执法等各项工作的开展。</w:t>
            </w:r>
          </w:p>
        </w:tc>
      </w:tr>
      <w:tr>
        <w:tblPrEx>
          <w:tblCellMar>
            <w:top w:w="0" w:type="dxa"/>
            <w:left w:w="108" w:type="dxa"/>
            <w:bottom w:w="0" w:type="dxa"/>
            <w:right w:w="108" w:type="dxa"/>
          </w:tblCellMar>
        </w:tblPrEx>
        <w:trPr>
          <w:gridAfter w:val="1"/>
          <w:wAfter w:w="626" w:type="dxa"/>
          <w:trHeight w:val="885" w:hRule="atLeast"/>
        </w:trPr>
        <w:tc>
          <w:tcPr>
            <w:tcW w:w="56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年度绩效指标</w:t>
            </w:r>
          </w:p>
        </w:tc>
        <w:tc>
          <w:tcPr>
            <w:tcW w:w="993" w:type="dxa"/>
            <w:gridSpan w:val="3"/>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一级指标</w:t>
            </w:r>
          </w:p>
        </w:tc>
        <w:tc>
          <w:tcPr>
            <w:tcW w:w="1134"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二级指标</w:t>
            </w:r>
          </w:p>
        </w:tc>
        <w:tc>
          <w:tcPr>
            <w:tcW w:w="198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三级指标</w:t>
            </w:r>
          </w:p>
        </w:tc>
        <w:tc>
          <w:tcPr>
            <w:tcW w:w="2270" w:type="dxa"/>
            <w:gridSpan w:val="6"/>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预期指标值</w:t>
            </w:r>
          </w:p>
          <w:p>
            <w:pPr>
              <w:widowControl/>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（包含数字及</w:t>
            </w:r>
          </w:p>
          <w:p>
            <w:pPr>
              <w:widowControl/>
              <w:jc w:val="center"/>
              <w:rPr>
                <w:rFonts w:ascii="宋体" w:hAnsi="宋体" w:eastAsia="宋体" w:cs="宋体"/>
                <w:color w:val="000000"/>
                <w:kern w:val="0"/>
                <w:sz w:val="24"/>
                <w:highlight w:val="none"/>
              </w:rPr>
            </w:pPr>
            <w:r>
              <w:rPr>
                <w:rFonts w:hint="eastAsia" w:ascii="宋体" w:hAnsi="宋体" w:eastAsia="宋体" w:cs="宋体"/>
                <w:color w:val="000000"/>
                <w:kern w:val="0"/>
                <w:sz w:val="24"/>
                <w:highlight w:val="none"/>
              </w:rPr>
              <w:t>文字描述）</w:t>
            </w:r>
          </w:p>
        </w:tc>
        <w:tc>
          <w:tcPr>
            <w:tcW w:w="269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实际完成指标值（包含数字及文字描述）</w:t>
            </w:r>
          </w:p>
        </w:tc>
      </w:tr>
      <w:tr>
        <w:tblPrEx>
          <w:tblCellMar>
            <w:top w:w="0" w:type="dxa"/>
            <w:left w:w="108" w:type="dxa"/>
            <w:bottom w:w="0" w:type="dxa"/>
            <w:right w:w="108" w:type="dxa"/>
          </w:tblCellMar>
        </w:tblPrEx>
        <w:trPr>
          <w:gridAfter w:val="1"/>
          <w:wAfter w:w="626" w:type="dxa"/>
          <w:trHeight w:val="644"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完成</w:t>
            </w:r>
          </w:p>
          <w:p>
            <w:pPr>
              <w:widowControl/>
              <w:jc w:val="center"/>
              <w:rPr>
                <w:rFonts w:ascii="宋体" w:hAnsi="宋体" w:eastAsia="宋体" w:cs="宋体"/>
                <w:kern w:val="0"/>
                <w:sz w:val="24"/>
              </w:rPr>
            </w:pPr>
            <w:r>
              <w:rPr>
                <w:rFonts w:hint="eastAsia" w:ascii="宋体" w:hAnsi="宋体" w:eastAsia="宋体" w:cs="宋体"/>
                <w:kern w:val="0"/>
                <w:sz w:val="24"/>
              </w:rPr>
              <w:t>指标</w:t>
            </w:r>
          </w:p>
        </w:tc>
        <w:tc>
          <w:tcPr>
            <w:tcW w:w="1134"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数量</w:t>
            </w:r>
          </w:p>
          <w:p>
            <w:pPr>
              <w:widowControl/>
              <w:jc w:val="center"/>
              <w:rPr>
                <w:rFonts w:ascii="宋体" w:hAnsi="宋体" w:eastAsia="宋体" w:cs="宋体"/>
                <w:kern w:val="0"/>
                <w:sz w:val="24"/>
              </w:rPr>
            </w:pPr>
            <w:r>
              <w:rPr>
                <w:rFonts w:hint="eastAsia" w:ascii="宋体" w:hAnsi="宋体" w:eastAsia="宋体" w:cs="宋体"/>
                <w:kern w:val="0"/>
                <w:sz w:val="24"/>
              </w:rPr>
              <w:t>指标</w:t>
            </w:r>
          </w:p>
        </w:tc>
        <w:tc>
          <w:tcPr>
            <w:tcW w:w="1984" w:type="dxa"/>
            <w:gridSpan w:val="4"/>
            <w:tcBorders>
              <w:top w:val="single" w:color="auto" w:sz="4" w:space="0"/>
              <w:left w:val="nil"/>
              <w:bottom w:val="single" w:color="auto" w:sz="4" w:space="0"/>
              <w:right w:val="nil"/>
            </w:tcBorders>
            <w:shd w:val="clear" w:color="auto" w:fill="auto"/>
            <w:vAlign w:val="center"/>
          </w:tcPr>
          <w:p>
            <w:pPr>
              <w:jc w:val="left"/>
              <w:rPr>
                <w:rFonts w:ascii="宋体" w:hAnsi="宋体" w:eastAsia="宋体" w:cs="宋体"/>
                <w:sz w:val="24"/>
                <w:highlight w:val="none"/>
              </w:rPr>
            </w:pPr>
            <w:r>
              <w:rPr>
                <w:rFonts w:hint="eastAsia"/>
                <w:sz w:val="24"/>
                <w:highlight w:val="none"/>
              </w:rPr>
              <w:t>保障在职人数</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ind w:firstLine="720" w:firstLineChars="300"/>
              <w:jc w:val="both"/>
              <w:rPr>
                <w:rFonts w:ascii="宋体" w:hAnsi="宋体" w:eastAsia="宋体" w:cs="宋体"/>
                <w:kern w:val="0"/>
                <w:sz w:val="24"/>
                <w:highlight w:val="none"/>
              </w:rPr>
            </w:pPr>
            <w:r>
              <w:rPr>
                <w:rFonts w:hint="eastAsia" w:ascii="宋体" w:hAnsi="宋体" w:eastAsia="宋体" w:cs="宋体"/>
                <w:kern w:val="0"/>
                <w:sz w:val="24"/>
                <w:highlight w:val="none"/>
              </w:rPr>
              <w:t>=20人</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20人</w:t>
            </w:r>
          </w:p>
        </w:tc>
      </w:tr>
      <w:tr>
        <w:tblPrEx>
          <w:tblCellMar>
            <w:top w:w="0" w:type="dxa"/>
            <w:left w:w="108" w:type="dxa"/>
            <w:bottom w:w="0" w:type="dxa"/>
            <w:right w:w="108" w:type="dxa"/>
          </w:tblCellMar>
        </w:tblPrEx>
        <w:trPr>
          <w:gridAfter w:val="1"/>
          <w:wAfter w:w="626" w:type="dxa"/>
          <w:trHeight w:val="696"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34"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84" w:type="dxa"/>
            <w:gridSpan w:val="4"/>
            <w:tcBorders>
              <w:top w:val="single" w:color="auto" w:sz="4" w:space="0"/>
              <w:left w:val="nil"/>
              <w:bottom w:val="single" w:color="auto" w:sz="4" w:space="0"/>
              <w:right w:val="nil"/>
            </w:tcBorders>
            <w:shd w:val="clear" w:color="auto" w:fill="auto"/>
            <w:vAlign w:val="center"/>
          </w:tcPr>
          <w:p>
            <w:pPr>
              <w:jc w:val="left"/>
              <w:rPr>
                <w:rFonts w:ascii="宋体" w:hAnsi="宋体" w:eastAsia="宋体" w:cs="宋体"/>
                <w:sz w:val="24"/>
                <w:highlight w:val="none"/>
              </w:rPr>
            </w:pPr>
            <w:r>
              <w:rPr>
                <w:rFonts w:hint="eastAsia"/>
                <w:sz w:val="24"/>
                <w:highlight w:val="none"/>
              </w:rPr>
              <w:t>保障退休人数</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=8人</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8人</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34"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质量</w:t>
            </w:r>
          </w:p>
          <w:p>
            <w:pPr>
              <w:widowControl/>
              <w:jc w:val="center"/>
              <w:rPr>
                <w:rFonts w:ascii="宋体" w:hAnsi="宋体" w:eastAsia="宋体" w:cs="宋体"/>
                <w:kern w:val="0"/>
                <w:sz w:val="24"/>
              </w:rPr>
            </w:pPr>
            <w:r>
              <w:rPr>
                <w:rFonts w:hint="eastAsia" w:ascii="宋体" w:hAnsi="宋体" w:eastAsia="宋体" w:cs="宋体"/>
                <w:kern w:val="0"/>
                <w:sz w:val="24"/>
              </w:rPr>
              <w:t>指标</w:t>
            </w:r>
          </w:p>
        </w:tc>
        <w:tc>
          <w:tcPr>
            <w:tcW w:w="1984" w:type="dxa"/>
            <w:gridSpan w:val="4"/>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全年集中式饮用水水源地水质达标率</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ascii="宋体" w:hAnsi="宋体" w:eastAsia="宋体" w:cs="宋体"/>
                <w:kern w:val="0"/>
                <w:sz w:val="24"/>
                <w:highlight w:val="none"/>
              </w:rPr>
              <w:t>=100%</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34"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84" w:type="dxa"/>
            <w:gridSpan w:val="4"/>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全年河流监测断面水质达标率</w:t>
            </w:r>
            <w:r>
              <w:rPr>
                <w:rFonts w:hint="eastAsia" w:ascii="宋体" w:hAnsi="宋体" w:eastAsia="宋体" w:cs="宋体"/>
                <w:kern w:val="0"/>
                <w:sz w:val="24"/>
                <w:highlight w:val="none"/>
              </w:rPr>
              <w:tab/>
            </w:r>
            <w:r>
              <w:rPr>
                <w:rFonts w:hint="eastAsia" w:ascii="宋体" w:hAnsi="宋体" w:eastAsia="宋体" w:cs="宋体"/>
                <w:kern w:val="0"/>
                <w:sz w:val="24"/>
                <w:highlight w:val="none"/>
              </w:rPr>
              <w:tab/>
            </w:r>
            <w:r>
              <w:rPr>
                <w:rFonts w:hint="eastAsia" w:ascii="宋体" w:hAnsi="宋体" w:eastAsia="宋体" w:cs="宋体"/>
                <w:kern w:val="0"/>
                <w:sz w:val="24"/>
                <w:highlight w:val="none"/>
              </w:rPr>
              <w:tab/>
            </w:r>
            <w:r>
              <w:rPr>
                <w:rFonts w:hint="eastAsia" w:ascii="宋体" w:hAnsi="宋体" w:eastAsia="宋体" w:cs="宋体"/>
                <w:kern w:val="0"/>
                <w:sz w:val="24"/>
                <w:highlight w:val="none"/>
              </w:rPr>
              <w:tab/>
            </w:r>
            <w:r>
              <w:rPr>
                <w:rFonts w:hint="eastAsia" w:ascii="宋体" w:hAnsi="宋体" w:eastAsia="宋体" w:cs="宋体"/>
                <w:kern w:val="0"/>
                <w:sz w:val="24"/>
                <w:highlight w:val="none"/>
              </w:rPr>
              <w:t xml:space="preserve"> </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ascii="宋体" w:hAnsi="宋体" w:eastAsia="宋体" w:cs="宋体"/>
                <w:kern w:val="0"/>
                <w:sz w:val="24"/>
                <w:highlight w:val="none"/>
              </w:rPr>
              <w:t>=100%</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gridAfter w:val="1"/>
          <w:wAfter w:w="626" w:type="dxa"/>
          <w:trHeight w:val="750"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34" w:type="dxa"/>
            <w:gridSpan w:val="3"/>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时效</w:t>
            </w:r>
          </w:p>
          <w:p>
            <w:pPr>
              <w:widowControl/>
              <w:jc w:val="center"/>
              <w:rPr>
                <w:rFonts w:ascii="宋体" w:hAnsi="宋体" w:eastAsia="宋体" w:cs="宋体"/>
                <w:kern w:val="0"/>
                <w:sz w:val="24"/>
              </w:rPr>
            </w:pPr>
            <w:r>
              <w:rPr>
                <w:rFonts w:hint="eastAsia" w:ascii="宋体" w:hAnsi="宋体" w:eastAsia="宋体" w:cs="宋体"/>
                <w:kern w:val="0"/>
                <w:sz w:val="24"/>
              </w:rPr>
              <w:t>指标</w:t>
            </w:r>
          </w:p>
        </w:tc>
        <w:tc>
          <w:tcPr>
            <w:tcW w:w="1984" w:type="dxa"/>
            <w:gridSpan w:val="4"/>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人员工资及福利发放及时性</w:t>
            </w:r>
            <w:r>
              <w:rPr>
                <w:rFonts w:hint="eastAsia" w:ascii="宋体" w:hAnsi="宋体" w:eastAsia="宋体" w:cs="宋体"/>
                <w:kern w:val="0"/>
                <w:sz w:val="24"/>
                <w:highlight w:val="none"/>
              </w:rPr>
              <w:tab/>
            </w:r>
            <w:r>
              <w:rPr>
                <w:rFonts w:hint="eastAsia" w:ascii="宋体" w:hAnsi="宋体" w:eastAsia="宋体" w:cs="宋体"/>
                <w:kern w:val="0"/>
                <w:sz w:val="24"/>
                <w:highlight w:val="none"/>
              </w:rPr>
              <w:tab/>
            </w:r>
            <w:r>
              <w:rPr>
                <w:rFonts w:hint="eastAsia" w:ascii="宋体" w:hAnsi="宋体" w:eastAsia="宋体" w:cs="宋体"/>
                <w:kern w:val="0"/>
                <w:sz w:val="24"/>
                <w:highlight w:val="none"/>
              </w:rPr>
              <w:tab/>
            </w:r>
            <w:r>
              <w:rPr>
                <w:rFonts w:hint="eastAsia" w:ascii="宋体" w:hAnsi="宋体" w:eastAsia="宋体" w:cs="宋体"/>
                <w:kern w:val="0"/>
                <w:sz w:val="24"/>
                <w:highlight w:val="none"/>
              </w:rPr>
              <w:tab/>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ascii="宋体" w:hAnsi="宋体" w:eastAsia="宋体" w:cs="宋体"/>
                <w:kern w:val="0"/>
                <w:sz w:val="24"/>
                <w:highlight w:val="none"/>
              </w:rPr>
              <w:t>=100%</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100%</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34"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rPr>
            </w:pPr>
            <w:r>
              <w:rPr>
                <w:rFonts w:hint="eastAsia" w:ascii="宋体" w:hAnsi="宋体" w:eastAsia="宋体" w:cs="宋体"/>
                <w:kern w:val="0"/>
                <w:sz w:val="24"/>
              </w:rPr>
              <w:t>成本</w:t>
            </w:r>
          </w:p>
          <w:p>
            <w:pPr>
              <w:widowControl/>
              <w:jc w:val="center"/>
              <w:rPr>
                <w:rFonts w:ascii="宋体" w:hAnsi="宋体" w:eastAsia="宋体" w:cs="宋体"/>
                <w:kern w:val="0"/>
                <w:sz w:val="24"/>
              </w:rPr>
            </w:pPr>
            <w:r>
              <w:rPr>
                <w:rFonts w:hint="eastAsia" w:ascii="宋体" w:hAnsi="宋体" w:eastAsia="宋体" w:cs="宋体"/>
                <w:kern w:val="0"/>
                <w:sz w:val="24"/>
              </w:rPr>
              <w:t>指标</w:t>
            </w:r>
          </w:p>
        </w:tc>
        <w:tc>
          <w:tcPr>
            <w:tcW w:w="1984" w:type="dxa"/>
            <w:gridSpan w:val="4"/>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在职人员人均工资支出</w:t>
            </w:r>
          </w:p>
        </w:tc>
        <w:tc>
          <w:tcPr>
            <w:tcW w:w="2270"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≦9.83万元</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9.83万元</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34"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84" w:type="dxa"/>
            <w:gridSpan w:val="4"/>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退休人员人均补助支出</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≦0.21万元</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0.21万元</w:t>
            </w:r>
          </w:p>
        </w:tc>
      </w:tr>
      <w:tr>
        <w:tblPrEx>
          <w:tblCellMar>
            <w:top w:w="0" w:type="dxa"/>
            <w:left w:w="108" w:type="dxa"/>
            <w:bottom w:w="0" w:type="dxa"/>
            <w:right w:w="108" w:type="dxa"/>
          </w:tblCellMar>
        </w:tblPrEx>
        <w:trPr>
          <w:gridAfter w:val="1"/>
          <w:wAfter w:w="626" w:type="dxa"/>
          <w:trHeight w:val="603"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1134"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984" w:type="dxa"/>
            <w:gridSpan w:val="4"/>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运转人均保障支出</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≦0.34万元</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0.34万元</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restart"/>
            <w:tcBorders>
              <w:top w:val="nil"/>
              <w:left w:val="single" w:color="auto" w:sz="4" w:space="0"/>
              <w:right w:val="single" w:color="auto" w:sz="4" w:space="0"/>
            </w:tcBorders>
            <w:shd w:val="clear" w:color="auto" w:fill="auto"/>
            <w:vAlign w:val="center"/>
          </w:tcPr>
          <w:p>
            <w:pPr>
              <w:jc w:val="center"/>
              <w:rPr>
                <w:rFonts w:hint="eastAsia" w:ascii="宋体" w:hAnsi="宋体" w:eastAsia="宋体" w:cs="宋体"/>
                <w:kern w:val="0"/>
                <w:sz w:val="24"/>
              </w:rPr>
            </w:pPr>
            <w:r>
              <w:rPr>
                <w:rFonts w:hint="eastAsia" w:ascii="宋体" w:hAnsi="宋体" w:eastAsia="宋体" w:cs="宋体"/>
                <w:kern w:val="0"/>
                <w:sz w:val="24"/>
              </w:rPr>
              <w:t>效益</w:t>
            </w:r>
            <w:r>
              <w:rPr>
                <w:rFonts w:hint="eastAsia" w:ascii="宋体" w:hAnsi="宋体" w:eastAsia="宋体" w:cs="宋体"/>
                <w:kern w:val="0"/>
                <w:sz w:val="24"/>
              </w:rPr>
              <w:br w:type="textWrapping"/>
            </w:r>
            <w:r>
              <w:rPr>
                <w:rFonts w:hint="eastAsia" w:ascii="宋体" w:hAnsi="宋体" w:eastAsia="宋体" w:cs="宋体"/>
                <w:kern w:val="0"/>
                <w:sz w:val="24"/>
              </w:rPr>
              <w:t>指标</w:t>
            </w:r>
          </w:p>
        </w:tc>
        <w:tc>
          <w:tcPr>
            <w:tcW w:w="1134" w:type="dxa"/>
            <w:gridSpan w:val="3"/>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社会效益指标</w:t>
            </w:r>
          </w:p>
        </w:tc>
        <w:tc>
          <w:tcPr>
            <w:tcW w:w="1984" w:type="dxa"/>
            <w:gridSpan w:val="4"/>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提高居民的环保意识</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显著提升</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显著提升</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4"/>
              </w:rPr>
            </w:pPr>
          </w:p>
        </w:tc>
        <w:tc>
          <w:tcPr>
            <w:tcW w:w="1134" w:type="dxa"/>
            <w:gridSpan w:val="3"/>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生态效益指标</w:t>
            </w:r>
          </w:p>
        </w:tc>
        <w:tc>
          <w:tcPr>
            <w:tcW w:w="1984" w:type="dxa"/>
            <w:gridSpan w:val="4"/>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改善县域环境质量</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效果显著</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效果显著</w:t>
            </w:r>
          </w:p>
        </w:tc>
      </w:tr>
      <w:tr>
        <w:tblPrEx>
          <w:tblCellMar>
            <w:top w:w="0" w:type="dxa"/>
            <w:left w:w="108" w:type="dxa"/>
            <w:bottom w:w="0" w:type="dxa"/>
            <w:right w:w="108" w:type="dxa"/>
          </w:tblCellMar>
        </w:tblPrEx>
        <w:trPr>
          <w:gridAfter w:val="1"/>
          <w:wAfter w:w="626" w:type="dxa"/>
          <w:trHeight w:val="285" w:hRule="atLeast"/>
        </w:trPr>
        <w:tc>
          <w:tcPr>
            <w:tcW w:w="567"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1134" w:type="dxa"/>
            <w:gridSpan w:val="3"/>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可持续影响指标</w:t>
            </w:r>
          </w:p>
        </w:tc>
        <w:tc>
          <w:tcPr>
            <w:tcW w:w="1984" w:type="dxa"/>
            <w:gridSpan w:val="4"/>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巩固国家级生态文明示范县创建成果</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ind w:firstLine="240" w:firstLineChars="100"/>
              <w:jc w:val="center"/>
              <w:rPr>
                <w:rFonts w:ascii="宋体" w:hAnsi="宋体" w:eastAsia="宋体" w:cs="宋体"/>
                <w:kern w:val="0"/>
                <w:sz w:val="24"/>
                <w:highlight w:val="none"/>
              </w:rPr>
            </w:pPr>
            <w:r>
              <w:rPr>
                <w:rFonts w:hint="eastAsia" w:ascii="宋体" w:hAnsi="宋体" w:eastAsia="宋体" w:cs="宋体"/>
                <w:kern w:val="0"/>
                <w:sz w:val="24"/>
                <w:highlight w:val="none"/>
              </w:rPr>
              <w:t>效果显著</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效果显著</w:t>
            </w:r>
          </w:p>
        </w:tc>
      </w:tr>
      <w:tr>
        <w:tblPrEx>
          <w:tblCellMar>
            <w:top w:w="0" w:type="dxa"/>
            <w:left w:w="108" w:type="dxa"/>
            <w:bottom w:w="0" w:type="dxa"/>
            <w:right w:w="108" w:type="dxa"/>
          </w:tblCellMar>
        </w:tblPrEx>
        <w:trPr>
          <w:gridAfter w:val="1"/>
          <w:wAfter w:w="626" w:type="dxa"/>
          <w:trHeight w:val="799" w:hRule="atLeast"/>
        </w:trPr>
        <w:tc>
          <w:tcPr>
            <w:tcW w:w="56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rPr>
            </w:pPr>
          </w:p>
        </w:tc>
        <w:tc>
          <w:tcPr>
            <w:tcW w:w="993" w:type="dxa"/>
            <w:gridSpan w:val="3"/>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134" w:type="dxa"/>
            <w:gridSpan w:val="3"/>
            <w:vMerge w:val="restart"/>
            <w:tcBorders>
              <w:top w:val="single" w:color="auto" w:sz="4" w:space="0"/>
              <w:left w:val="nil"/>
              <w:right w:val="single" w:color="auto" w:sz="4" w:space="0"/>
            </w:tcBorders>
            <w:shd w:val="clear" w:color="auto" w:fill="auto"/>
            <w:vAlign w:val="center"/>
          </w:tcPr>
          <w:p>
            <w:pPr>
              <w:widowControl/>
              <w:jc w:val="center"/>
              <w:rPr>
                <w:rFonts w:ascii="宋体" w:hAnsi="宋体" w:eastAsia="宋体" w:cs="宋体"/>
                <w:kern w:val="0"/>
                <w:sz w:val="24"/>
              </w:rPr>
            </w:pPr>
            <w:r>
              <w:rPr>
                <w:rFonts w:hint="eastAsia" w:ascii="宋体" w:hAnsi="宋体" w:eastAsia="宋体" w:cs="宋体"/>
                <w:kern w:val="0"/>
                <w:sz w:val="24"/>
              </w:rPr>
              <w:t>满意度指标</w:t>
            </w:r>
          </w:p>
        </w:tc>
        <w:tc>
          <w:tcPr>
            <w:tcW w:w="1984" w:type="dxa"/>
            <w:gridSpan w:val="4"/>
            <w:tcBorders>
              <w:top w:val="single" w:color="auto" w:sz="4" w:space="0"/>
              <w:left w:val="single" w:color="auto" w:sz="4" w:space="0"/>
              <w:bottom w:val="single" w:color="auto" w:sz="4" w:space="0"/>
              <w:right w:val="nil"/>
            </w:tcBorders>
            <w:shd w:val="clear" w:color="auto" w:fill="auto"/>
            <w:vAlign w:val="center"/>
          </w:tcPr>
          <w:p>
            <w:pPr>
              <w:widowControl/>
              <w:jc w:val="left"/>
              <w:rPr>
                <w:rFonts w:ascii="宋体" w:hAnsi="宋体" w:eastAsia="宋体" w:cs="宋体"/>
                <w:kern w:val="0"/>
                <w:sz w:val="24"/>
                <w:highlight w:val="none"/>
              </w:rPr>
            </w:pPr>
            <w:r>
              <w:rPr>
                <w:rFonts w:hint="eastAsia" w:ascii="宋体" w:hAnsi="宋体" w:eastAsia="宋体" w:cs="宋体"/>
                <w:kern w:val="0"/>
                <w:sz w:val="24"/>
                <w:highlight w:val="none"/>
              </w:rPr>
              <w:t xml:space="preserve"> 干部职工满意度</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≥90%</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90%</w:t>
            </w:r>
          </w:p>
        </w:tc>
      </w:tr>
      <w:tr>
        <w:tblPrEx>
          <w:tblCellMar>
            <w:top w:w="0" w:type="dxa"/>
            <w:left w:w="108" w:type="dxa"/>
            <w:bottom w:w="0" w:type="dxa"/>
            <w:right w:w="108" w:type="dxa"/>
          </w:tblCellMar>
        </w:tblPrEx>
        <w:trPr>
          <w:gridAfter w:val="1"/>
          <w:wAfter w:w="626" w:type="dxa"/>
          <w:trHeight w:val="582" w:hRule="atLeast"/>
        </w:trPr>
        <w:tc>
          <w:tcPr>
            <w:tcW w:w="5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rPr>
            </w:pPr>
          </w:p>
        </w:tc>
        <w:tc>
          <w:tcPr>
            <w:tcW w:w="993" w:type="dxa"/>
            <w:gridSpan w:val="3"/>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eastAsia="宋体" w:cs="宋体"/>
                <w:kern w:val="0"/>
                <w:sz w:val="24"/>
              </w:rPr>
            </w:pPr>
          </w:p>
        </w:tc>
        <w:tc>
          <w:tcPr>
            <w:tcW w:w="1134" w:type="dxa"/>
            <w:gridSpan w:val="3"/>
            <w:vMerge w:val="continue"/>
            <w:tcBorders>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rPr>
            </w:pPr>
          </w:p>
        </w:tc>
        <w:tc>
          <w:tcPr>
            <w:tcW w:w="1984" w:type="dxa"/>
            <w:gridSpan w:val="4"/>
            <w:tcBorders>
              <w:top w:val="single" w:color="auto" w:sz="4" w:space="0"/>
              <w:left w:val="single" w:color="auto" w:sz="4" w:space="0"/>
              <w:bottom w:val="single" w:color="auto" w:sz="4" w:space="0"/>
              <w:right w:val="nil"/>
            </w:tcBorders>
            <w:shd w:val="clear" w:color="auto" w:fill="auto"/>
            <w:vAlign w:val="center"/>
          </w:tcPr>
          <w:p>
            <w:pPr>
              <w:ind w:firstLine="120" w:firstLineChars="50"/>
              <w:jc w:val="left"/>
              <w:rPr>
                <w:rFonts w:ascii="宋体" w:hAnsi="宋体" w:eastAsia="宋体" w:cs="宋体"/>
                <w:kern w:val="0"/>
                <w:sz w:val="24"/>
                <w:highlight w:val="none"/>
              </w:rPr>
            </w:pPr>
            <w:r>
              <w:rPr>
                <w:rFonts w:hint="eastAsia" w:ascii="宋体" w:hAnsi="宋体" w:eastAsia="宋体" w:cs="宋体"/>
                <w:kern w:val="0"/>
                <w:sz w:val="24"/>
                <w:highlight w:val="none"/>
              </w:rPr>
              <w:t>相关企业满意度</w:t>
            </w:r>
          </w:p>
        </w:tc>
        <w:tc>
          <w:tcPr>
            <w:tcW w:w="2270"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highlight w:val="none"/>
              </w:rPr>
            </w:pPr>
            <w:r>
              <w:rPr>
                <w:rFonts w:hint="eastAsia" w:ascii="宋体" w:hAnsi="宋体" w:eastAsia="宋体" w:cs="宋体"/>
                <w:kern w:val="0"/>
                <w:sz w:val="24"/>
                <w:highlight w:val="none"/>
              </w:rPr>
              <w:t>≥90%</w:t>
            </w:r>
          </w:p>
        </w:tc>
        <w:tc>
          <w:tcPr>
            <w:tcW w:w="2692"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4"/>
                <w:szCs w:val="24"/>
                <w:highlight w:val="none"/>
                <w:u w:val="none"/>
                <w:lang w:val="en-US" w:eastAsia="zh-CN" w:bidi="ar"/>
              </w:rPr>
              <w:t>90%</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2FF" w:usb1="400004FF" w:usb2="00000000" w:usb3="00000000" w:csb0="2000019F"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docPartObj>
        <w:docPartGallery w:val="autotext"/>
      </w:docPartObj>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24 -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B966C7"/>
    <w:multiLevelType w:val="multilevel"/>
    <w:tmpl w:val="37B966C7"/>
    <w:lvl w:ilvl="0" w:tentative="0">
      <w:start w:val="1"/>
      <w:numFmt w:val="chineseCountingThousand"/>
      <w:lvlText w:val="(%1)"/>
      <w:lvlJc w:val="left"/>
      <w:pPr>
        <w:ind w:left="982" w:hanging="420"/>
      </w:p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ZjMzZTkxMDUzOWUwYzQ4OTViM2UwODBmYmY3N2QifQ=="/>
  </w:docVars>
  <w:rsids>
    <w:rsidRoot w:val="00633862"/>
    <w:rsid w:val="00004E88"/>
    <w:rsid w:val="00015268"/>
    <w:rsid w:val="00025A44"/>
    <w:rsid w:val="00072084"/>
    <w:rsid w:val="0009422A"/>
    <w:rsid w:val="000B6B13"/>
    <w:rsid w:val="000D1DEE"/>
    <w:rsid w:val="000D3AFA"/>
    <w:rsid w:val="000F2582"/>
    <w:rsid w:val="00105D60"/>
    <w:rsid w:val="001121F2"/>
    <w:rsid w:val="00112859"/>
    <w:rsid w:val="001173EB"/>
    <w:rsid w:val="00150C4C"/>
    <w:rsid w:val="00191BA3"/>
    <w:rsid w:val="001A2299"/>
    <w:rsid w:val="001A3A0E"/>
    <w:rsid w:val="001B684C"/>
    <w:rsid w:val="001B6AD0"/>
    <w:rsid w:val="001F630E"/>
    <w:rsid w:val="00206A92"/>
    <w:rsid w:val="00211B9D"/>
    <w:rsid w:val="0021757A"/>
    <w:rsid w:val="00220CBD"/>
    <w:rsid w:val="0022744B"/>
    <w:rsid w:val="00234372"/>
    <w:rsid w:val="00234959"/>
    <w:rsid w:val="00234B37"/>
    <w:rsid w:val="00246941"/>
    <w:rsid w:val="002764C7"/>
    <w:rsid w:val="002A398D"/>
    <w:rsid w:val="002D075E"/>
    <w:rsid w:val="00303A08"/>
    <w:rsid w:val="003226C4"/>
    <w:rsid w:val="0039775C"/>
    <w:rsid w:val="003A018F"/>
    <w:rsid w:val="003D38FA"/>
    <w:rsid w:val="003E3DEF"/>
    <w:rsid w:val="003E7C70"/>
    <w:rsid w:val="00415810"/>
    <w:rsid w:val="00436BAC"/>
    <w:rsid w:val="004505DF"/>
    <w:rsid w:val="00492713"/>
    <w:rsid w:val="0049337C"/>
    <w:rsid w:val="004C4C4D"/>
    <w:rsid w:val="004C6FF3"/>
    <w:rsid w:val="004D6936"/>
    <w:rsid w:val="004E69F5"/>
    <w:rsid w:val="004E7AAC"/>
    <w:rsid w:val="004F4561"/>
    <w:rsid w:val="00531A31"/>
    <w:rsid w:val="00533C6C"/>
    <w:rsid w:val="00547C71"/>
    <w:rsid w:val="00572704"/>
    <w:rsid w:val="00593943"/>
    <w:rsid w:val="005A08A8"/>
    <w:rsid w:val="005B1250"/>
    <w:rsid w:val="005C33CE"/>
    <w:rsid w:val="006225D7"/>
    <w:rsid w:val="00633862"/>
    <w:rsid w:val="006379B7"/>
    <w:rsid w:val="006413B6"/>
    <w:rsid w:val="00683CA8"/>
    <w:rsid w:val="006910A7"/>
    <w:rsid w:val="00691310"/>
    <w:rsid w:val="006A7181"/>
    <w:rsid w:val="006C5BED"/>
    <w:rsid w:val="006D062A"/>
    <w:rsid w:val="006D3947"/>
    <w:rsid w:val="006D3F0D"/>
    <w:rsid w:val="00702D4A"/>
    <w:rsid w:val="007115C8"/>
    <w:rsid w:val="00713ADC"/>
    <w:rsid w:val="00725B9A"/>
    <w:rsid w:val="0073602C"/>
    <w:rsid w:val="007458C2"/>
    <w:rsid w:val="00754721"/>
    <w:rsid w:val="00757B25"/>
    <w:rsid w:val="007620C7"/>
    <w:rsid w:val="007713F8"/>
    <w:rsid w:val="007A7491"/>
    <w:rsid w:val="007A7874"/>
    <w:rsid w:val="007F7C22"/>
    <w:rsid w:val="00800784"/>
    <w:rsid w:val="00817432"/>
    <w:rsid w:val="00843AC5"/>
    <w:rsid w:val="008614D8"/>
    <w:rsid w:val="00870F41"/>
    <w:rsid w:val="00875327"/>
    <w:rsid w:val="00886879"/>
    <w:rsid w:val="00890FC2"/>
    <w:rsid w:val="00893B71"/>
    <w:rsid w:val="008946F1"/>
    <w:rsid w:val="008A5A3A"/>
    <w:rsid w:val="008E3F8A"/>
    <w:rsid w:val="00923468"/>
    <w:rsid w:val="00952782"/>
    <w:rsid w:val="0095580D"/>
    <w:rsid w:val="0097614B"/>
    <w:rsid w:val="009867AB"/>
    <w:rsid w:val="00992D45"/>
    <w:rsid w:val="009957A4"/>
    <w:rsid w:val="009A1625"/>
    <w:rsid w:val="009E5FF8"/>
    <w:rsid w:val="009F06F4"/>
    <w:rsid w:val="00A05135"/>
    <w:rsid w:val="00A43D21"/>
    <w:rsid w:val="00A50F11"/>
    <w:rsid w:val="00A52E87"/>
    <w:rsid w:val="00A55238"/>
    <w:rsid w:val="00A60E49"/>
    <w:rsid w:val="00A76431"/>
    <w:rsid w:val="00AA5126"/>
    <w:rsid w:val="00AC4471"/>
    <w:rsid w:val="00AD12ED"/>
    <w:rsid w:val="00AD16CD"/>
    <w:rsid w:val="00AF42EB"/>
    <w:rsid w:val="00B130FE"/>
    <w:rsid w:val="00B1639D"/>
    <w:rsid w:val="00B33552"/>
    <w:rsid w:val="00B34A48"/>
    <w:rsid w:val="00B34B49"/>
    <w:rsid w:val="00B407C3"/>
    <w:rsid w:val="00B54648"/>
    <w:rsid w:val="00B666A1"/>
    <w:rsid w:val="00BA1454"/>
    <w:rsid w:val="00C42609"/>
    <w:rsid w:val="00C4673D"/>
    <w:rsid w:val="00C649B6"/>
    <w:rsid w:val="00C76454"/>
    <w:rsid w:val="00C81F75"/>
    <w:rsid w:val="00CB1C9D"/>
    <w:rsid w:val="00CC5F81"/>
    <w:rsid w:val="00CC7606"/>
    <w:rsid w:val="00CD2B32"/>
    <w:rsid w:val="00CD2F35"/>
    <w:rsid w:val="00CE16E7"/>
    <w:rsid w:val="00CE61DB"/>
    <w:rsid w:val="00D26F3D"/>
    <w:rsid w:val="00D278CF"/>
    <w:rsid w:val="00D51FB0"/>
    <w:rsid w:val="00D77626"/>
    <w:rsid w:val="00D81EE2"/>
    <w:rsid w:val="00DA225B"/>
    <w:rsid w:val="00DA67B8"/>
    <w:rsid w:val="00DB1085"/>
    <w:rsid w:val="00DD223C"/>
    <w:rsid w:val="00E213C7"/>
    <w:rsid w:val="00E41A31"/>
    <w:rsid w:val="00E7188B"/>
    <w:rsid w:val="00EB55CB"/>
    <w:rsid w:val="00EF1FEE"/>
    <w:rsid w:val="00F006BD"/>
    <w:rsid w:val="00F16F2D"/>
    <w:rsid w:val="00F17550"/>
    <w:rsid w:val="00F27120"/>
    <w:rsid w:val="00F341E0"/>
    <w:rsid w:val="00F36401"/>
    <w:rsid w:val="00F42445"/>
    <w:rsid w:val="00F44FCC"/>
    <w:rsid w:val="00F5442D"/>
    <w:rsid w:val="00F55700"/>
    <w:rsid w:val="00F5736E"/>
    <w:rsid w:val="00F74974"/>
    <w:rsid w:val="00F829DE"/>
    <w:rsid w:val="00F84215"/>
    <w:rsid w:val="00F85F08"/>
    <w:rsid w:val="00F86F0E"/>
    <w:rsid w:val="00F91CBB"/>
    <w:rsid w:val="00FA4C47"/>
    <w:rsid w:val="030E67A5"/>
    <w:rsid w:val="07BF655B"/>
    <w:rsid w:val="0B722230"/>
    <w:rsid w:val="0E9A5E97"/>
    <w:rsid w:val="19085C6A"/>
    <w:rsid w:val="1EB60E4D"/>
    <w:rsid w:val="2A1B6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2">
    <w:name w:val="heading 3"/>
    <w:basedOn w:val="1"/>
    <w:next w:val="1"/>
    <w:link w:val="26"/>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uiPriority w:val="39"/>
    <w:pPr>
      <w:ind w:left="840" w:leftChars="400"/>
    </w:pPr>
  </w:style>
  <w:style w:type="paragraph" w:styleId="7">
    <w:name w:val="Balloon Text"/>
    <w:basedOn w:val="1"/>
    <w:link w:val="31"/>
    <w:semiHidden/>
    <w:unhideWhenUsed/>
    <w:qFormat/>
    <w:uiPriority w:val="99"/>
    <w:rPr>
      <w:sz w:val="18"/>
      <w:szCs w:val="18"/>
    </w:rPr>
  </w:style>
  <w:style w:type="paragraph" w:styleId="8">
    <w:name w:val="footer"/>
    <w:basedOn w:val="1"/>
    <w:link w:val="21"/>
    <w:unhideWhenUsed/>
    <w:qFormat/>
    <w:uiPriority w:val="99"/>
    <w:pPr>
      <w:tabs>
        <w:tab w:val="center" w:pos="4153"/>
        <w:tab w:val="right" w:pos="8306"/>
      </w:tabs>
      <w:snapToGrid w:val="0"/>
      <w:jc w:val="left"/>
    </w:pPr>
    <w:rPr>
      <w:sz w:val="18"/>
      <w:szCs w:val="18"/>
    </w:rPr>
  </w:style>
  <w:style w:type="paragraph" w:styleId="9">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4"/>
    <w:basedOn w:val="1"/>
    <w:next w:val="1"/>
    <w:unhideWhenUsed/>
    <w:uiPriority w:val="39"/>
    <w:pPr>
      <w:ind w:left="1260" w:leftChars="600"/>
    </w:pPr>
  </w:style>
  <w:style w:type="paragraph" w:styleId="12">
    <w:name w:val="Subtitle"/>
    <w:basedOn w:val="1"/>
    <w:next w:val="1"/>
    <w:link w:val="25"/>
    <w:qFormat/>
    <w:uiPriority w:val="11"/>
    <w:pPr>
      <w:spacing w:before="240" w:after="60" w:line="312" w:lineRule="auto"/>
      <w:jc w:val="center"/>
      <w:outlineLvl w:val="1"/>
    </w:pPr>
    <w:rPr>
      <w:b/>
      <w:bCs/>
      <w:kern w:val="28"/>
      <w:sz w:val="32"/>
      <w:szCs w:val="32"/>
    </w:rPr>
  </w:style>
  <w:style w:type="paragraph" w:styleId="13">
    <w:name w:val="toc 2"/>
    <w:basedOn w:val="1"/>
    <w:next w:val="1"/>
    <w:unhideWhenUsed/>
    <w:qFormat/>
    <w:uiPriority w:val="39"/>
    <w:pPr>
      <w:ind w:left="420" w:leftChars="200"/>
    </w:pPr>
  </w:style>
  <w:style w:type="paragraph" w:styleId="14">
    <w:name w:val="Normal (Web)"/>
    <w:basedOn w:val="1"/>
    <w:qFormat/>
    <w:uiPriority w:val="99"/>
    <w:pPr>
      <w:spacing w:before="100" w:beforeAutospacing="1" w:after="100" w:afterAutospacing="1"/>
      <w:jc w:val="left"/>
    </w:pPr>
    <w:rPr>
      <w:rFonts w:ascii="Calibri" w:hAnsi="Calibri" w:eastAsia="宋体" w:cs="Times New Roman"/>
      <w:color w:val="000000"/>
      <w:kern w:val="0"/>
      <w:sz w:val="24"/>
    </w:rPr>
  </w:style>
  <w:style w:type="paragraph" w:styleId="15">
    <w:name w:val="Title"/>
    <w:basedOn w:val="1"/>
    <w:next w:val="1"/>
    <w:link w:val="23"/>
    <w:qFormat/>
    <w:uiPriority w:val="10"/>
    <w:pPr>
      <w:spacing w:before="240" w:after="60"/>
      <w:jc w:val="center"/>
      <w:outlineLvl w:val="0"/>
    </w:pPr>
    <w:rPr>
      <w:rFonts w:asciiTheme="majorHAnsi" w:hAnsiTheme="majorHAnsi" w:eastAsiaTheme="majorEastAsia" w:cstheme="majorBidi"/>
      <w:b/>
      <w:bCs/>
      <w:sz w:val="32"/>
      <w:szCs w:val="32"/>
    </w:rPr>
  </w:style>
  <w:style w:type="character" w:styleId="18">
    <w:name w:val="Strong"/>
    <w:basedOn w:val="17"/>
    <w:qFormat/>
    <w:uiPriority w:val="0"/>
    <w:rPr>
      <w:b/>
      <w:bCs/>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character" w:customStyle="1" w:styleId="20">
    <w:name w:val="页眉 Char"/>
    <w:basedOn w:val="17"/>
    <w:link w:val="9"/>
    <w:qFormat/>
    <w:uiPriority w:val="99"/>
    <w:rPr>
      <w:sz w:val="18"/>
      <w:szCs w:val="18"/>
    </w:rPr>
  </w:style>
  <w:style w:type="character" w:customStyle="1" w:styleId="21">
    <w:name w:val="页脚 Char"/>
    <w:basedOn w:val="17"/>
    <w:link w:val="8"/>
    <w:qFormat/>
    <w:uiPriority w:val="99"/>
    <w:rPr>
      <w:sz w:val="18"/>
      <w:szCs w:val="18"/>
    </w:rPr>
  </w:style>
  <w:style w:type="paragraph" w:styleId="22">
    <w:name w:val="List Paragraph"/>
    <w:basedOn w:val="1"/>
    <w:unhideWhenUsed/>
    <w:qFormat/>
    <w:uiPriority w:val="99"/>
    <w:pPr>
      <w:ind w:firstLine="420" w:firstLineChars="200"/>
    </w:pPr>
  </w:style>
  <w:style w:type="character" w:customStyle="1" w:styleId="23">
    <w:name w:val="标题 Char"/>
    <w:basedOn w:val="17"/>
    <w:link w:val="15"/>
    <w:qFormat/>
    <w:uiPriority w:val="10"/>
    <w:rPr>
      <w:rFonts w:asciiTheme="majorHAnsi" w:hAnsiTheme="majorHAnsi" w:eastAsiaTheme="majorEastAsia" w:cstheme="majorBidi"/>
      <w:b/>
      <w:bCs/>
      <w:sz w:val="32"/>
      <w:szCs w:val="32"/>
    </w:rPr>
  </w:style>
  <w:style w:type="character" w:customStyle="1" w:styleId="24">
    <w:name w:val="标题 2 Char"/>
    <w:basedOn w:val="17"/>
    <w:link w:val="4"/>
    <w:qFormat/>
    <w:uiPriority w:val="9"/>
    <w:rPr>
      <w:rFonts w:asciiTheme="majorHAnsi" w:hAnsiTheme="majorHAnsi" w:eastAsiaTheme="majorEastAsia" w:cstheme="majorBidi"/>
      <w:b/>
      <w:bCs/>
      <w:sz w:val="32"/>
      <w:szCs w:val="32"/>
    </w:rPr>
  </w:style>
  <w:style w:type="character" w:customStyle="1" w:styleId="25">
    <w:name w:val="副标题 Char"/>
    <w:basedOn w:val="17"/>
    <w:link w:val="12"/>
    <w:qFormat/>
    <w:uiPriority w:val="11"/>
    <w:rPr>
      <w:b/>
      <w:bCs/>
      <w:kern w:val="28"/>
      <w:sz w:val="32"/>
      <w:szCs w:val="32"/>
    </w:rPr>
  </w:style>
  <w:style w:type="character" w:customStyle="1" w:styleId="26">
    <w:name w:val="标题 3 Char"/>
    <w:basedOn w:val="17"/>
    <w:link w:val="2"/>
    <w:qFormat/>
    <w:uiPriority w:val="9"/>
    <w:rPr>
      <w:b/>
      <w:bCs/>
      <w:sz w:val="32"/>
      <w:szCs w:val="32"/>
    </w:rPr>
  </w:style>
  <w:style w:type="character" w:styleId="27">
    <w:name w:val="Placeholder Text"/>
    <w:basedOn w:val="17"/>
    <w:semiHidden/>
    <w:qFormat/>
    <w:uiPriority w:val="99"/>
    <w:rPr>
      <w:color w:val="808080"/>
    </w:rPr>
  </w:style>
  <w:style w:type="character" w:customStyle="1" w:styleId="28">
    <w:name w:val="标题 1 Char"/>
    <w:basedOn w:val="17"/>
    <w:link w:val="3"/>
    <w:qFormat/>
    <w:uiPriority w:val="9"/>
    <w:rPr>
      <w:b/>
      <w:bCs/>
      <w:kern w:val="44"/>
      <w:sz w:val="44"/>
      <w:szCs w:val="44"/>
    </w:rPr>
  </w:style>
  <w:style w:type="paragraph" w:customStyle="1" w:styleId="29">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0">
    <w:name w:val="标题 4 Char"/>
    <w:basedOn w:val="17"/>
    <w:link w:val="5"/>
    <w:qFormat/>
    <w:uiPriority w:val="9"/>
    <w:rPr>
      <w:rFonts w:asciiTheme="majorHAnsi" w:hAnsiTheme="majorHAnsi" w:eastAsiaTheme="majorEastAsia" w:cstheme="majorBidi"/>
      <w:b/>
      <w:bCs/>
      <w:sz w:val="28"/>
      <w:szCs w:val="28"/>
    </w:rPr>
  </w:style>
  <w:style w:type="character" w:customStyle="1" w:styleId="31">
    <w:name w:val="批注框文本 Char"/>
    <w:basedOn w:val="17"/>
    <w:link w:val="7"/>
    <w:semiHidden/>
    <w:qFormat/>
    <w:uiPriority w:val="99"/>
    <w:rPr>
      <w:kern w:val="2"/>
      <w:sz w:val="18"/>
      <w:szCs w:val="18"/>
    </w:rPr>
  </w:style>
  <w:style w:type="paragraph" w:customStyle="1" w:styleId="32">
    <w:name w:val="闻政-正文段落文字"/>
    <w:basedOn w:val="1"/>
    <w:qFormat/>
    <w:uiPriority w:val="3"/>
    <w:pPr>
      <w:spacing w:line="500" w:lineRule="exact"/>
      <w:ind w:firstLine="200"/>
    </w:pPr>
    <w:rPr>
      <w:rFonts w:ascii="Times New Roman" w:hAnsi="Times New Roman" w:eastAsia="宋体" w:cs="Times New Roman"/>
      <w:color w:val="000000"/>
      <w:kern w:val="0"/>
      <w:szCs w:val="28"/>
    </w:rPr>
  </w:style>
  <w:style w:type="paragraph" w:customStyle="1" w:styleId="33">
    <w:name w:val="Default"/>
    <w:next w:val="1"/>
    <w:qFormat/>
    <w:uiPriority w:val="0"/>
    <w:pPr>
      <w:widowControl w:val="0"/>
      <w:autoSpaceDE w:val="0"/>
      <w:autoSpaceDN w:val="0"/>
      <w:adjustRightInd w:val="0"/>
    </w:pPr>
    <w:rPr>
      <w:rFonts w:ascii="隶书" w:hAnsi="Calibri" w:eastAsia="隶书" w:cs="隶书"/>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722C3-2E16-49D1-8C44-BF679621CD6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13092</Words>
  <Characters>13910</Characters>
  <Lines>86</Lines>
  <Paragraphs>24</Paragraphs>
  <TotalTime>2</TotalTime>
  <ScaleCrop>false</ScaleCrop>
  <LinksUpToDate>false</LinksUpToDate>
  <CharactersWithSpaces>14170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2022-04-28T05:53:00Z</dcterms:created>
  <dc:creator>jc</dc:creator>
  <cp:lastModifiedBy>123</cp:lastModifiedBy>
  <dcterms:modified xsi:type="dcterms:W3CDTF">2022-05-25T11:23:36Z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4040BC53662B4586AA5277B780022A08</vt:lpwstr>
  </property>
</Properties>
</file>